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D7345F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26.03.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92C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308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7BF" w:rsidRDefault="00F42D51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.09.201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0 «Об утверждении прогнозного </w:t>
            </w:r>
            <w:proofErr w:type="gramStart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25.12.2019 № 289</w:t>
            </w:r>
            <w:r w:rsidR="00E07FC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30.01.2020 №298</w:t>
            </w:r>
            <w:r w:rsidR="005E046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27.02.2020 № 303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7345F" w:rsidRDefault="00D7345F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1B742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25.12.2019 № 289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, от 30.01.2020 № 298</w:t>
      </w:r>
      <w:r w:rsidR="00884347">
        <w:rPr>
          <w:rFonts w:ascii="Arial" w:eastAsia="Times New Roman" w:hAnsi="Arial" w:cs="Arial"/>
          <w:bCs/>
          <w:sz w:val="26"/>
          <w:szCs w:val="26"/>
          <w:lang w:eastAsia="ru-RU"/>
        </w:rPr>
        <w:t>, от 27.02.2020 № 303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C70F95" w:rsidRPr="00C70F95" w:rsidRDefault="00C70F95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</w:t>
      </w:r>
      <w:r w:rsidR="009D035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1-3, 5-8, 10, 11, 14, 15, 24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 к решению в графе «Предполагаемые сроки приватизации» слова «I квартал» заменить словами «II квартал»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C70F95" w:rsidRDefault="00C70F95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пунктах 5-8 приложения к решению </w:t>
      </w:r>
      <w:r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слова «Аукцион» заменить словами «</w:t>
      </w:r>
      <w:r w:rsidR="001F41D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</w:t>
      </w:r>
      <w:r w:rsidR="006403B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несение муниципального имущества в качестве вклада в уставный капитал акционерного общества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»</w:t>
      </w:r>
      <w:r w:rsidR="00F26387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;</w:t>
      </w:r>
    </w:p>
    <w:p w:rsidR="002A3FE3" w:rsidRPr="002A3FE3" w:rsidRDefault="002A3FE3" w:rsidP="002A3FE3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пункт 25 приложения к решению изложить в следующей редакции: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06"/>
        <w:gridCol w:w="4112"/>
        <w:gridCol w:w="2095"/>
        <w:gridCol w:w="1258"/>
        <w:gridCol w:w="1717"/>
      </w:tblGrid>
      <w:tr w:rsidR="002A3FE3" w:rsidRPr="001E0CA6" w:rsidTr="00BD7D72">
        <w:tc>
          <w:tcPr>
            <w:tcW w:w="709" w:type="dxa"/>
          </w:tcPr>
          <w:p w:rsidR="002A3FE3" w:rsidRPr="001E0CA6" w:rsidRDefault="002A3FE3" w:rsidP="002A3FE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30" w:type="dxa"/>
            <w:vAlign w:val="center"/>
          </w:tcPr>
          <w:p w:rsidR="002A3FE3" w:rsidRPr="001E0CA6" w:rsidRDefault="002A3FE3" w:rsidP="009B2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Автокраны МАЗ5334 КС35771, идентификационный номер (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Pr="001E0CA6">
              <w:rPr>
                <w:rFonts w:ascii="Arial" w:hAnsi="Arial" w:cs="Arial"/>
                <w:sz w:val="26"/>
                <w:szCs w:val="26"/>
              </w:rPr>
              <w:t>) отсутствует, категория ТС С, год изготовления 1990, м</w:t>
            </w:r>
            <w:r w:rsidRPr="001E0CA6">
              <w:rPr>
                <w:rFonts w:ascii="Arial" w:hAnsi="Arial" w:cs="Arial"/>
                <w:sz w:val="26"/>
                <w:szCs w:val="26"/>
              </w:rPr>
              <w:t>о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дель, № двигателя 236М2*07175*89, шасси 128362, цвет кузова зеленый, </w:t>
            </w:r>
            <w:r w:rsidRPr="001E0CA6">
              <w:rPr>
                <w:rFonts w:ascii="Arial" w:hAnsi="Arial" w:cs="Arial"/>
                <w:sz w:val="26"/>
                <w:szCs w:val="26"/>
              </w:rPr>
              <w:lastRenderedPageBreak/>
              <w:t>мощность двигателя 180л.с., ПТС 52ЕС121953, выдан 30.08.2000, РЭО  ГИБДД ГУВД Нижегородской обл.</w:t>
            </w:r>
          </w:p>
        </w:tc>
        <w:tc>
          <w:tcPr>
            <w:tcW w:w="2107" w:type="dxa"/>
            <w:vAlign w:val="center"/>
          </w:tcPr>
          <w:p w:rsidR="002A3FE3" w:rsidRPr="001E0CA6" w:rsidRDefault="002A3FE3" w:rsidP="009B2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259" w:type="dxa"/>
            <w:vAlign w:val="center"/>
          </w:tcPr>
          <w:p w:rsidR="002A3FE3" w:rsidRPr="001E0CA6" w:rsidRDefault="002A3FE3" w:rsidP="009B2C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1E0CA6">
              <w:rPr>
                <w:rFonts w:ascii="Arial" w:hAnsi="Arial" w:cs="Arial"/>
                <w:sz w:val="26"/>
                <w:szCs w:val="26"/>
              </w:rPr>
              <w:t>р</w:t>
            </w:r>
            <w:r w:rsidRPr="001E0CA6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683" w:type="dxa"/>
          </w:tcPr>
          <w:p w:rsidR="006A6260" w:rsidRDefault="006A6260" w:rsidP="002A3FE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  <w:p w:rsidR="006A6260" w:rsidRDefault="006A6260" w:rsidP="002A3FE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  <w:p w:rsidR="006A6260" w:rsidRDefault="006A6260" w:rsidP="002A3FE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  <w:p w:rsidR="002A3FE3" w:rsidRPr="001E0CA6" w:rsidRDefault="006A6260" w:rsidP="002A3FE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2A3FE3" w:rsidRPr="001E0CA6" w:rsidRDefault="002A3FE3" w:rsidP="002A3FE3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0F4369" w:rsidRPr="001E0CA6" w:rsidRDefault="000F4369" w:rsidP="001E0CA6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</w:t>
      </w:r>
      <w:r w:rsidR="002F2F8A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E07FC0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6D140C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>6-2</w:t>
      </w:r>
      <w:r w:rsidR="002A3FE3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="00381C1A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97E1F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>следующего</w:t>
      </w:r>
      <w:r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3828"/>
        <w:gridCol w:w="2358"/>
        <w:gridCol w:w="1326"/>
        <w:gridCol w:w="1717"/>
      </w:tblGrid>
      <w:tr w:rsidR="001F430A" w:rsidRPr="001E0CA6" w:rsidTr="006D140C">
        <w:tc>
          <w:tcPr>
            <w:tcW w:w="649" w:type="dxa"/>
          </w:tcPr>
          <w:p w:rsidR="001F430A" w:rsidRPr="001E0CA6" w:rsidRDefault="00381C1A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E0C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28" w:type="dxa"/>
            <w:vAlign w:val="center"/>
          </w:tcPr>
          <w:p w:rsidR="00A00096" w:rsidRPr="001E0CA6" w:rsidRDefault="00381C1A" w:rsidP="00381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Буровая самоходная уст</w:t>
            </w:r>
            <w:r w:rsidRPr="001E0CA6">
              <w:rPr>
                <w:rFonts w:ascii="Arial" w:hAnsi="Arial" w:cs="Arial"/>
                <w:sz w:val="26"/>
                <w:szCs w:val="26"/>
              </w:rPr>
              <w:t>а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новка 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JOVE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JVD</w:t>
            </w:r>
            <w:r w:rsidRPr="001E0CA6">
              <w:rPr>
                <w:rFonts w:ascii="Arial" w:hAnsi="Arial" w:cs="Arial"/>
                <w:sz w:val="26"/>
                <w:szCs w:val="26"/>
              </w:rPr>
              <w:t>320, пре</w:t>
            </w:r>
            <w:r w:rsidRPr="001E0CA6">
              <w:rPr>
                <w:rFonts w:ascii="Arial" w:hAnsi="Arial" w:cs="Arial"/>
                <w:sz w:val="26"/>
                <w:szCs w:val="26"/>
              </w:rPr>
              <w:t>д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приятие – изготовитель 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CHTCJOVEHEAVYINDUSTRY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COLTD</w:t>
            </w:r>
            <w:r w:rsidRPr="001E0CA6">
              <w:rPr>
                <w:rFonts w:ascii="Arial" w:hAnsi="Arial" w:cs="Arial"/>
                <w:sz w:val="26"/>
                <w:szCs w:val="26"/>
              </w:rPr>
              <w:t>, сертификат соотве</w:t>
            </w:r>
            <w:r w:rsidRPr="001E0CA6">
              <w:rPr>
                <w:rFonts w:ascii="Arial" w:hAnsi="Arial" w:cs="Arial"/>
                <w:sz w:val="26"/>
                <w:szCs w:val="26"/>
              </w:rPr>
              <w:t>т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ствия от 24.09.2012, 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год в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ы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 xml:space="preserve">пуска 2012, заводской № машины </w:t>
            </w:r>
            <w:r w:rsidR="001805D6" w:rsidRPr="001E0CA6">
              <w:rPr>
                <w:rFonts w:ascii="Arial" w:hAnsi="Arial" w:cs="Arial"/>
                <w:sz w:val="26"/>
                <w:szCs w:val="26"/>
                <w:lang w:val="en-US"/>
              </w:rPr>
              <w:t>JVD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320-0137, двиг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а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тель № 87669494, коробка передач отсутствует, осно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в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ной ведущий мост сведения отсутствуют, цвет синий, вид движителя гусеничный, мо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щ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ность двигателя 160кВт, ко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н</w:t>
            </w:r>
            <w:r w:rsidR="001805D6" w:rsidRPr="001E0CA6">
              <w:rPr>
                <w:rFonts w:ascii="Arial" w:hAnsi="Arial" w:cs="Arial"/>
                <w:sz w:val="26"/>
                <w:szCs w:val="26"/>
              </w:rPr>
              <w:t>струкционная масса 10700 кг, габаритные размеры 7200/2240/2420, ПСМ № ТА262523 от 16.11.2012</w:t>
            </w:r>
          </w:p>
        </w:tc>
        <w:tc>
          <w:tcPr>
            <w:tcW w:w="2389" w:type="dxa"/>
            <w:vAlign w:val="center"/>
          </w:tcPr>
          <w:p w:rsidR="001F430A" w:rsidRPr="001E0CA6" w:rsidRDefault="002A3FE3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несение мун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ципального им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щества в кач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стве вклада в уставный кап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тал акционерн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1F41D3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го общества</w:t>
            </w:r>
          </w:p>
        </w:tc>
        <w:tc>
          <w:tcPr>
            <w:tcW w:w="1357" w:type="dxa"/>
            <w:vAlign w:val="center"/>
          </w:tcPr>
          <w:p w:rsidR="001F430A" w:rsidRPr="001E0CA6" w:rsidRDefault="001F430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I</w:t>
            </w:r>
            <w:r w:rsidR="001F41D3" w:rsidRPr="001E0CA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1E0CA6">
              <w:rPr>
                <w:rFonts w:ascii="Arial" w:hAnsi="Arial" w:cs="Arial"/>
                <w:sz w:val="26"/>
                <w:szCs w:val="26"/>
              </w:rPr>
              <w:t>р</w:t>
            </w:r>
            <w:r w:rsidRPr="001E0CA6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631" w:type="dxa"/>
            <w:vAlign w:val="center"/>
          </w:tcPr>
          <w:p w:rsidR="001F430A" w:rsidRPr="001E0CA6" w:rsidRDefault="006A6260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2C13B7" w:rsidRPr="001E0CA6" w:rsidTr="006D140C">
        <w:tc>
          <w:tcPr>
            <w:tcW w:w="649" w:type="dxa"/>
          </w:tcPr>
          <w:p w:rsidR="002C13B7" w:rsidRPr="001E0CA6" w:rsidRDefault="008B256B" w:rsidP="001F41D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E0C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  <w:r w:rsidR="001F41D3" w:rsidRPr="001E0C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2C13B7" w:rsidRPr="001E0CA6" w:rsidRDefault="001F41D3" w:rsidP="00A7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Автомобиль бортовой с КМУ  7857КО-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на базе КАМАЗ 5308-А4, идентификацио</w:t>
            </w:r>
            <w:r w:rsidRPr="001E0CA6">
              <w:rPr>
                <w:rFonts w:ascii="Arial" w:hAnsi="Arial" w:cs="Arial"/>
                <w:sz w:val="26"/>
                <w:szCs w:val="26"/>
              </w:rPr>
              <w:t>н</w:t>
            </w:r>
            <w:r w:rsidRPr="001E0CA6">
              <w:rPr>
                <w:rFonts w:ascii="Arial" w:hAnsi="Arial" w:cs="Arial"/>
                <w:sz w:val="26"/>
                <w:szCs w:val="26"/>
              </w:rPr>
              <w:t>ный номер (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) 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Х897857</w:t>
            </w:r>
            <w:r w:rsidR="001A2F5E" w:rsidRPr="001E0CA6">
              <w:rPr>
                <w:rFonts w:ascii="Arial" w:hAnsi="Arial" w:cs="Arial"/>
                <w:sz w:val="26"/>
                <w:szCs w:val="26"/>
                <w:lang w:val="en-US"/>
              </w:rPr>
              <w:t>KOEFFC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0001, кат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е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гория</w:t>
            </w:r>
            <w:proofErr w:type="gramStart"/>
            <w:r w:rsidR="001A2F5E" w:rsidRPr="001E0CA6">
              <w:rPr>
                <w:rFonts w:ascii="Arial" w:hAnsi="Arial" w:cs="Arial"/>
                <w:sz w:val="26"/>
                <w:szCs w:val="26"/>
              </w:rPr>
              <w:t xml:space="preserve"> С</w:t>
            </w:r>
            <w:proofErr w:type="gramEnd"/>
            <w:r w:rsidR="001A2F5E" w:rsidRPr="001E0CA6">
              <w:rPr>
                <w:rFonts w:ascii="Arial" w:hAnsi="Arial" w:cs="Arial"/>
                <w:sz w:val="26"/>
                <w:szCs w:val="26"/>
              </w:rPr>
              <w:t xml:space="preserve">, год изготовления 2014, модель, № двигателя </w:t>
            </w:r>
            <w:r w:rsidR="001A2F5E" w:rsidRPr="001E0CA6">
              <w:rPr>
                <w:rFonts w:ascii="Arial" w:hAnsi="Arial" w:cs="Arial"/>
                <w:sz w:val="26"/>
                <w:szCs w:val="26"/>
                <w:lang w:val="en-US"/>
              </w:rPr>
              <w:t>ISB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6.7е430086030514, шасси № ХТС530804Е1297842, к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у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 xml:space="preserve">зов № 2353010, цвет кузова синий, мощность двигателя 298 </w:t>
            </w:r>
            <w:proofErr w:type="spellStart"/>
            <w:r w:rsidR="001A2F5E" w:rsidRPr="001E0CA6"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 w:rsidR="001A2F5E" w:rsidRPr="001E0CA6">
              <w:rPr>
                <w:rFonts w:ascii="Arial" w:hAnsi="Arial" w:cs="Arial"/>
                <w:sz w:val="26"/>
                <w:szCs w:val="26"/>
              </w:rPr>
              <w:t>., рабочий объем дв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и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гателя 6700 куб. см, тип дв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и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гателя дизель, экологический класс четвертый, разреше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н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 xml:space="preserve">ная максимальная масса 15000 кг, масса без нагрузки 9860 кг, ПТС 50 ОВ 091715 </w:t>
            </w:r>
            <w:proofErr w:type="gramStart"/>
            <w:r w:rsidR="001A2F5E" w:rsidRPr="001E0CA6">
              <w:rPr>
                <w:rFonts w:ascii="Arial" w:hAnsi="Arial" w:cs="Arial"/>
                <w:sz w:val="26"/>
                <w:szCs w:val="26"/>
              </w:rPr>
              <w:t>выдан</w:t>
            </w:r>
            <w:proofErr w:type="gramEnd"/>
            <w:r w:rsidR="001A2F5E" w:rsidRPr="001E0CA6">
              <w:rPr>
                <w:rFonts w:ascii="Arial" w:hAnsi="Arial" w:cs="Arial"/>
                <w:sz w:val="26"/>
                <w:szCs w:val="26"/>
              </w:rPr>
              <w:t xml:space="preserve"> ООО «НПП «АВТ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О</w:t>
            </w:r>
            <w:r w:rsidR="001A2F5E" w:rsidRPr="001E0CA6">
              <w:rPr>
                <w:rFonts w:ascii="Arial" w:hAnsi="Arial" w:cs="Arial"/>
                <w:sz w:val="26"/>
                <w:szCs w:val="26"/>
              </w:rPr>
              <w:t>МАШ», 12.08.2014</w:t>
            </w:r>
          </w:p>
        </w:tc>
        <w:tc>
          <w:tcPr>
            <w:tcW w:w="2389" w:type="dxa"/>
            <w:vAlign w:val="center"/>
          </w:tcPr>
          <w:p w:rsidR="002C13B7" w:rsidRPr="001E0CA6" w:rsidRDefault="002A3FE3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несение мун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ципального им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щества в кач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стве вклада в уставный кап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тал акционерн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1A2F5E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го общества</w:t>
            </w:r>
          </w:p>
        </w:tc>
        <w:tc>
          <w:tcPr>
            <w:tcW w:w="1357" w:type="dxa"/>
            <w:vAlign w:val="center"/>
          </w:tcPr>
          <w:p w:rsidR="002C13B7" w:rsidRPr="001E0CA6" w:rsidRDefault="00A77072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I</w:t>
            </w:r>
            <w:r w:rsidR="001A2F5E" w:rsidRPr="001E0CA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1E0CA6">
              <w:rPr>
                <w:rFonts w:ascii="Arial" w:hAnsi="Arial" w:cs="Arial"/>
                <w:sz w:val="26"/>
                <w:szCs w:val="26"/>
              </w:rPr>
              <w:t>р</w:t>
            </w:r>
            <w:r w:rsidRPr="001E0CA6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631" w:type="dxa"/>
            <w:vAlign w:val="center"/>
          </w:tcPr>
          <w:p w:rsidR="002C13B7" w:rsidRPr="001E0CA6" w:rsidRDefault="006A6260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6D140C" w:rsidRPr="001E0CA6" w:rsidTr="006D140C">
        <w:tc>
          <w:tcPr>
            <w:tcW w:w="649" w:type="dxa"/>
          </w:tcPr>
          <w:p w:rsidR="006D140C" w:rsidRPr="001E0CA6" w:rsidRDefault="006D140C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E0C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28" w:type="dxa"/>
            <w:vAlign w:val="center"/>
          </w:tcPr>
          <w:p w:rsidR="006D140C" w:rsidRPr="001E0CA6" w:rsidRDefault="006D140C" w:rsidP="006D1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Экскаватор-погрузчик JCB 3CXS14M2NM колесный, з</w:t>
            </w:r>
            <w:r w:rsidRPr="001E0CA6">
              <w:rPr>
                <w:rFonts w:ascii="Arial" w:hAnsi="Arial" w:cs="Arial"/>
                <w:sz w:val="26"/>
                <w:szCs w:val="26"/>
              </w:rPr>
              <w:t>а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водской № машины  JCB 3CX4WE02259880, двигатель </w:t>
            </w:r>
            <w:r w:rsidRPr="001E0CA6">
              <w:rPr>
                <w:rFonts w:ascii="Arial" w:hAnsi="Arial" w:cs="Arial"/>
                <w:sz w:val="26"/>
                <w:szCs w:val="26"/>
              </w:rPr>
              <w:lastRenderedPageBreak/>
              <w:t>U3227813, коробка передач 441/М6149/05/924, основной ведущий мост 453/33670/16/21302; 453/М3958/02/5810, цвет желтый, ПСМ ТС 372816 от 19.09.2014</w:t>
            </w:r>
          </w:p>
        </w:tc>
        <w:tc>
          <w:tcPr>
            <w:tcW w:w="2389" w:type="dxa"/>
            <w:vAlign w:val="center"/>
          </w:tcPr>
          <w:p w:rsidR="006D140C" w:rsidRPr="001E0CA6" w:rsidRDefault="002A3FE3" w:rsidP="0078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несение мун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ципального им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щества в кач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стве вклада в 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уставный кап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тал акционерн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6D140C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го общества</w:t>
            </w:r>
          </w:p>
        </w:tc>
        <w:tc>
          <w:tcPr>
            <w:tcW w:w="1357" w:type="dxa"/>
            <w:vAlign w:val="center"/>
          </w:tcPr>
          <w:p w:rsidR="006D140C" w:rsidRPr="001E0CA6" w:rsidRDefault="006D140C" w:rsidP="0078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lastRenderedPageBreak/>
              <w:t>I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1E0CA6">
              <w:rPr>
                <w:rFonts w:ascii="Arial" w:hAnsi="Arial" w:cs="Arial"/>
                <w:sz w:val="26"/>
                <w:szCs w:val="26"/>
              </w:rPr>
              <w:t>р</w:t>
            </w:r>
            <w:r w:rsidRPr="001E0CA6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631" w:type="dxa"/>
            <w:vAlign w:val="center"/>
          </w:tcPr>
          <w:p w:rsidR="006D140C" w:rsidRPr="001E0CA6" w:rsidRDefault="006A6260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2A3FE3" w:rsidRPr="001E0CA6" w:rsidTr="006D140C">
        <w:tc>
          <w:tcPr>
            <w:tcW w:w="649" w:type="dxa"/>
          </w:tcPr>
          <w:p w:rsidR="002A3FE3" w:rsidRPr="001E0CA6" w:rsidRDefault="002A3FE3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E0CA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vAlign w:val="center"/>
          </w:tcPr>
          <w:p w:rsidR="002A3FE3" w:rsidRPr="001E0CA6" w:rsidRDefault="00BF7656" w:rsidP="006D1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Сварочная машина «Па</w:t>
            </w:r>
            <w:r w:rsidRPr="001E0CA6">
              <w:rPr>
                <w:rFonts w:ascii="Arial" w:hAnsi="Arial" w:cs="Arial"/>
                <w:sz w:val="26"/>
                <w:szCs w:val="26"/>
              </w:rPr>
              <w:t>й</w:t>
            </w:r>
            <w:r w:rsidRPr="001E0CA6">
              <w:rPr>
                <w:rFonts w:ascii="Arial" w:hAnsi="Arial" w:cs="Arial"/>
                <w:sz w:val="26"/>
                <w:szCs w:val="26"/>
              </w:rPr>
              <w:t>пфюз»-160</w:t>
            </w:r>
          </w:p>
        </w:tc>
        <w:tc>
          <w:tcPr>
            <w:tcW w:w="2389" w:type="dxa"/>
            <w:vAlign w:val="center"/>
          </w:tcPr>
          <w:p w:rsidR="002A3FE3" w:rsidRPr="001E0CA6" w:rsidRDefault="005448F4" w:rsidP="00787FA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несение мун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ципального им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щества в кач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стве вклада в уставный кап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тал акционерн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BF7656" w:rsidRPr="001E0CA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го общества</w:t>
            </w:r>
          </w:p>
        </w:tc>
        <w:tc>
          <w:tcPr>
            <w:tcW w:w="1357" w:type="dxa"/>
            <w:vAlign w:val="center"/>
          </w:tcPr>
          <w:p w:rsidR="002A3FE3" w:rsidRPr="001E0CA6" w:rsidRDefault="00BF7656" w:rsidP="00787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0CA6">
              <w:rPr>
                <w:rFonts w:ascii="Arial" w:hAnsi="Arial" w:cs="Arial"/>
                <w:sz w:val="26"/>
                <w:szCs w:val="26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E0CA6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1E0CA6">
              <w:rPr>
                <w:rFonts w:ascii="Arial" w:hAnsi="Arial" w:cs="Arial"/>
                <w:sz w:val="26"/>
                <w:szCs w:val="26"/>
              </w:rPr>
              <w:t>р</w:t>
            </w:r>
            <w:r w:rsidRPr="001E0CA6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631" w:type="dxa"/>
            <w:vAlign w:val="center"/>
          </w:tcPr>
          <w:p w:rsidR="002A3FE3" w:rsidRPr="001E0CA6" w:rsidRDefault="006A6260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6D140C" w:rsidRPr="00BF7656" w:rsidRDefault="001B7424" w:rsidP="00BF7656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0530D0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0530D0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0530D0">
        <w:rPr>
          <w:rFonts w:ascii="Arial" w:eastAsia="Times New Roman" w:hAnsi="Arial" w:cs="Arial"/>
          <w:bCs/>
          <w:sz w:val="26"/>
          <w:szCs w:val="26"/>
          <w:lang w:eastAsia="ru-RU"/>
        </w:rPr>
        <w:t>),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D140C" w:rsidRDefault="006D140C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sectPr w:rsidR="006D140C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E1B28C9"/>
    <w:multiLevelType w:val="hybridMultilevel"/>
    <w:tmpl w:val="CB2AB140"/>
    <w:lvl w:ilvl="0" w:tplc="DA7C77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30D0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1837"/>
    <w:rsid w:val="000E1AB4"/>
    <w:rsid w:val="000E5CBF"/>
    <w:rsid w:val="000E5D8C"/>
    <w:rsid w:val="000F4369"/>
    <w:rsid w:val="000F7AE6"/>
    <w:rsid w:val="00104CE1"/>
    <w:rsid w:val="00113557"/>
    <w:rsid w:val="00117406"/>
    <w:rsid w:val="00123393"/>
    <w:rsid w:val="00125EA2"/>
    <w:rsid w:val="00137450"/>
    <w:rsid w:val="001375FE"/>
    <w:rsid w:val="00142954"/>
    <w:rsid w:val="0014301C"/>
    <w:rsid w:val="00162B00"/>
    <w:rsid w:val="0017108B"/>
    <w:rsid w:val="00172F3E"/>
    <w:rsid w:val="001801A7"/>
    <w:rsid w:val="001805D6"/>
    <w:rsid w:val="00192C32"/>
    <w:rsid w:val="00197BB7"/>
    <w:rsid w:val="001A2F5E"/>
    <w:rsid w:val="001A3ACC"/>
    <w:rsid w:val="001B19BF"/>
    <w:rsid w:val="001B2DE0"/>
    <w:rsid w:val="001B6882"/>
    <w:rsid w:val="001B7424"/>
    <w:rsid w:val="001C1E6D"/>
    <w:rsid w:val="001C2E62"/>
    <w:rsid w:val="001C736B"/>
    <w:rsid w:val="001E0CA6"/>
    <w:rsid w:val="001F1EB8"/>
    <w:rsid w:val="001F3341"/>
    <w:rsid w:val="001F41D3"/>
    <w:rsid w:val="001F430A"/>
    <w:rsid w:val="001F59E3"/>
    <w:rsid w:val="001F7951"/>
    <w:rsid w:val="0023066D"/>
    <w:rsid w:val="0025204B"/>
    <w:rsid w:val="002567F2"/>
    <w:rsid w:val="00273CA4"/>
    <w:rsid w:val="00286E0E"/>
    <w:rsid w:val="00290CD7"/>
    <w:rsid w:val="0029711C"/>
    <w:rsid w:val="002A34F6"/>
    <w:rsid w:val="002A3FE3"/>
    <w:rsid w:val="002A570A"/>
    <w:rsid w:val="002B0713"/>
    <w:rsid w:val="002C06B3"/>
    <w:rsid w:val="002C13B7"/>
    <w:rsid w:val="002D44D1"/>
    <w:rsid w:val="002D58B2"/>
    <w:rsid w:val="002F2F8A"/>
    <w:rsid w:val="002F3678"/>
    <w:rsid w:val="002F4FA7"/>
    <w:rsid w:val="002F522C"/>
    <w:rsid w:val="00312FD0"/>
    <w:rsid w:val="00323AB3"/>
    <w:rsid w:val="00324CC7"/>
    <w:rsid w:val="00334CB9"/>
    <w:rsid w:val="00341F65"/>
    <w:rsid w:val="00357FA3"/>
    <w:rsid w:val="003679E3"/>
    <w:rsid w:val="00374C53"/>
    <w:rsid w:val="0037720B"/>
    <w:rsid w:val="00381C1A"/>
    <w:rsid w:val="00386677"/>
    <w:rsid w:val="00391865"/>
    <w:rsid w:val="00397E1F"/>
    <w:rsid w:val="003A162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448F4"/>
    <w:rsid w:val="00546658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E046C"/>
    <w:rsid w:val="005F037A"/>
    <w:rsid w:val="00604C6F"/>
    <w:rsid w:val="00605306"/>
    <w:rsid w:val="006072F2"/>
    <w:rsid w:val="00610725"/>
    <w:rsid w:val="00612CA2"/>
    <w:rsid w:val="00615221"/>
    <w:rsid w:val="006209A2"/>
    <w:rsid w:val="00621AC9"/>
    <w:rsid w:val="00631E2F"/>
    <w:rsid w:val="00633407"/>
    <w:rsid w:val="006403B2"/>
    <w:rsid w:val="006564B8"/>
    <w:rsid w:val="00660A68"/>
    <w:rsid w:val="00675920"/>
    <w:rsid w:val="00680579"/>
    <w:rsid w:val="00681B24"/>
    <w:rsid w:val="006A27F4"/>
    <w:rsid w:val="006A6260"/>
    <w:rsid w:val="006B26E6"/>
    <w:rsid w:val="006B7D54"/>
    <w:rsid w:val="006D0AA3"/>
    <w:rsid w:val="006D140C"/>
    <w:rsid w:val="006D140F"/>
    <w:rsid w:val="006D3250"/>
    <w:rsid w:val="006D568B"/>
    <w:rsid w:val="006D706F"/>
    <w:rsid w:val="0070231B"/>
    <w:rsid w:val="00704A64"/>
    <w:rsid w:val="007065C2"/>
    <w:rsid w:val="00737B41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D030C"/>
    <w:rsid w:val="007D1881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4347"/>
    <w:rsid w:val="008862C8"/>
    <w:rsid w:val="00886E46"/>
    <w:rsid w:val="0088749E"/>
    <w:rsid w:val="00893B3D"/>
    <w:rsid w:val="008B256B"/>
    <w:rsid w:val="008B2FCE"/>
    <w:rsid w:val="008B5D45"/>
    <w:rsid w:val="008C23CA"/>
    <w:rsid w:val="008D5A2C"/>
    <w:rsid w:val="008E5709"/>
    <w:rsid w:val="00906650"/>
    <w:rsid w:val="00931053"/>
    <w:rsid w:val="00932E8D"/>
    <w:rsid w:val="00943878"/>
    <w:rsid w:val="009529B3"/>
    <w:rsid w:val="00953A42"/>
    <w:rsid w:val="009574D7"/>
    <w:rsid w:val="00993988"/>
    <w:rsid w:val="00995AD8"/>
    <w:rsid w:val="009B2712"/>
    <w:rsid w:val="009B4FB0"/>
    <w:rsid w:val="009B5767"/>
    <w:rsid w:val="009D0357"/>
    <w:rsid w:val="009E4C8A"/>
    <w:rsid w:val="009E5981"/>
    <w:rsid w:val="00A00096"/>
    <w:rsid w:val="00A014D7"/>
    <w:rsid w:val="00A02AE5"/>
    <w:rsid w:val="00A20228"/>
    <w:rsid w:val="00A208F2"/>
    <w:rsid w:val="00A25754"/>
    <w:rsid w:val="00A304AB"/>
    <w:rsid w:val="00A33D2D"/>
    <w:rsid w:val="00A35893"/>
    <w:rsid w:val="00A37B02"/>
    <w:rsid w:val="00A423A7"/>
    <w:rsid w:val="00A5764B"/>
    <w:rsid w:val="00A65117"/>
    <w:rsid w:val="00A73E42"/>
    <w:rsid w:val="00A73EAC"/>
    <w:rsid w:val="00A77072"/>
    <w:rsid w:val="00A979AD"/>
    <w:rsid w:val="00AA570F"/>
    <w:rsid w:val="00AB0381"/>
    <w:rsid w:val="00AB3926"/>
    <w:rsid w:val="00AB65F7"/>
    <w:rsid w:val="00AC071E"/>
    <w:rsid w:val="00B023B6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91C31"/>
    <w:rsid w:val="00B94B32"/>
    <w:rsid w:val="00B973EF"/>
    <w:rsid w:val="00BC2BDB"/>
    <w:rsid w:val="00BC4E1B"/>
    <w:rsid w:val="00BE56A4"/>
    <w:rsid w:val="00BF7656"/>
    <w:rsid w:val="00C234E3"/>
    <w:rsid w:val="00C30A3F"/>
    <w:rsid w:val="00C51A8F"/>
    <w:rsid w:val="00C536E0"/>
    <w:rsid w:val="00C66518"/>
    <w:rsid w:val="00C66F29"/>
    <w:rsid w:val="00C70F95"/>
    <w:rsid w:val="00CA4710"/>
    <w:rsid w:val="00CA71A4"/>
    <w:rsid w:val="00CB09A0"/>
    <w:rsid w:val="00CD3F84"/>
    <w:rsid w:val="00CE4079"/>
    <w:rsid w:val="00D01C56"/>
    <w:rsid w:val="00D026E7"/>
    <w:rsid w:val="00D11C31"/>
    <w:rsid w:val="00D6271E"/>
    <w:rsid w:val="00D7345F"/>
    <w:rsid w:val="00D77158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07FC0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699C"/>
    <w:rsid w:val="00EA1FF0"/>
    <w:rsid w:val="00EA389E"/>
    <w:rsid w:val="00EA75C3"/>
    <w:rsid w:val="00ED0DBD"/>
    <w:rsid w:val="00EE3048"/>
    <w:rsid w:val="00F02C66"/>
    <w:rsid w:val="00F26387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08D"/>
    <w:rsid w:val="00F95538"/>
    <w:rsid w:val="00FA4E2C"/>
    <w:rsid w:val="00FA5EB1"/>
    <w:rsid w:val="00FA7613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2B0F-2436-4B53-B751-0F8FBB23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9</cp:revision>
  <cp:lastPrinted>2020-03-23T06:25:00Z</cp:lastPrinted>
  <dcterms:created xsi:type="dcterms:W3CDTF">2020-03-13T10:11:00Z</dcterms:created>
  <dcterms:modified xsi:type="dcterms:W3CDTF">2020-03-27T05:47:00Z</dcterms:modified>
</cp:coreProperties>
</file>