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FB" w:rsidRPr="00124EFB" w:rsidRDefault="00124EFB" w:rsidP="00124EFB">
      <w:pPr>
        <w:jc w:val="center"/>
        <w:textAlignment w:val="baseline"/>
        <w:rPr>
          <w:rFonts w:ascii="Arial" w:hAnsi="Arial" w:cs="Arial"/>
          <w:sz w:val="24"/>
          <w:szCs w:val="24"/>
        </w:rPr>
      </w:pPr>
      <w:r>
        <w:rPr>
          <w:rFonts w:ascii="Arial" w:hAnsi="Arial" w:cs="Arial"/>
          <w:b/>
          <w:sz w:val="24"/>
          <w:szCs w:val="24"/>
        </w:rPr>
        <w:t>Извещение о</w:t>
      </w:r>
      <w:r w:rsidRPr="00124EFB">
        <w:rPr>
          <w:rFonts w:ascii="Arial" w:hAnsi="Arial" w:cs="Arial"/>
          <w:b/>
          <w:sz w:val="24"/>
          <w:szCs w:val="24"/>
        </w:rPr>
        <w:t xml:space="preserve"> проведени</w:t>
      </w:r>
      <w:r>
        <w:rPr>
          <w:rFonts w:ascii="Arial" w:hAnsi="Arial" w:cs="Arial"/>
          <w:b/>
          <w:sz w:val="24"/>
          <w:szCs w:val="24"/>
        </w:rPr>
        <w:t xml:space="preserve">и </w:t>
      </w:r>
      <w:r w:rsidRPr="00124EFB">
        <w:rPr>
          <w:rFonts w:ascii="Arial" w:hAnsi="Arial" w:cs="Arial"/>
          <w:b/>
          <w:sz w:val="24"/>
          <w:szCs w:val="24"/>
        </w:rPr>
        <w:t xml:space="preserve">открытого аукциона </w:t>
      </w:r>
      <w:r w:rsidR="00316304">
        <w:rPr>
          <w:rFonts w:ascii="Arial" w:hAnsi="Arial" w:cs="Arial"/>
          <w:b/>
          <w:sz w:val="24"/>
          <w:szCs w:val="24"/>
        </w:rPr>
        <w:t>№</w:t>
      </w:r>
      <w:bookmarkStart w:id="0" w:name="_GoBack"/>
      <w:bookmarkEnd w:id="0"/>
      <w:r>
        <w:rPr>
          <w:rFonts w:ascii="Arial" w:hAnsi="Arial" w:cs="Arial"/>
          <w:b/>
          <w:sz w:val="24"/>
          <w:szCs w:val="24"/>
        </w:rPr>
        <w:t xml:space="preserve">1-2021-Н </w:t>
      </w:r>
      <w:r w:rsidRPr="00124EFB">
        <w:rPr>
          <w:rFonts w:ascii="Arial" w:hAnsi="Arial" w:cs="Arial"/>
          <w:b/>
          <w:sz w:val="24"/>
          <w:szCs w:val="24"/>
        </w:rPr>
        <w:t>по продаже объекта незавершенного строительства</w:t>
      </w:r>
    </w:p>
    <w:p w:rsidR="00CE2ADA" w:rsidRDefault="00CE2ADA" w:rsidP="00CE2ADA">
      <w:pPr>
        <w:jc w:val="both"/>
        <w:rPr>
          <w:rFonts w:ascii="Arial" w:hAnsi="Arial" w:cs="Arial"/>
          <w:sz w:val="24"/>
          <w:szCs w:val="24"/>
        </w:rPr>
      </w:pPr>
      <w:proofErr w:type="gramStart"/>
      <w:r>
        <w:rPr>
          <w:rFonts w:ascii="Arial" w:hAnsi="Arial" w:cs="Arial"/>
          <w:sz w:val="24"/>
          <w:szCs w:val="24"/>
        </w:rPr>
        <w:t xml:space="preserve">Департамент имущественных отношений и земельных ресурсов администрации города Ишима, </w:t>
      </w:r>
      <w:r>
        <w:rPr>
          <w:rFonts w:ascii="Arial" w:hAnsi="Arial" w:cs="Arial"/>
          <w:sz w:val="24"/>
          <w:szCs w:val="24"/>
          <w:u w:val="single"/>
        </w:rPr>
        <w:t>на основании</w:t>
      </w:r>
      <w:r>
        <w:rPr>
          <w:rFonts w:ascii="Arial" w:hAnsi="Arial" w:cs="Arial"/>
          <w:sz w:val="24"/>
          <w:szCs w:val="24"/>
        </w:rPr>
        <w:t xml:space="preserve"> решения Арбитражного суда Тюменской области от 05 апреля 2021 года, вступившее в силу  06.05.2021г., Постановления Администрации города Ишима от 19.07.2021 №525 «О проведении аукциона по продаже объекта незавершенного строительства» извещает </w:t>
      </w:r>
      <w:r>
        <w:rPr>
          <w:rFonts w:ascii="Arial" w:hAnsi="Arial" w:cs="Arial"/>
          <w:sz w:val="24"/>
          <w:szCs w:val="24"/>
          <w:u w:val="single"/>
        </w:rPr>
        <w:t>о проведения открытого аукциона по продаже объекта незавершенного строительства</w:t>
      </w:r>
      <w:r>
        <w:rPr>
          <w:rFonts w:ascii="Arial" w:hAnsi="Arial" w:cs="Arial"/>
          <w:sz w:val="24"/>
          <w:szCs w:val="24"/>
        </w:rPr>
        <w:t xml:space="preserve">. </w:t>
      </w:r>
      <w:proofErr w:type="gramEnd"/>
    </w:p>
    <w:p w:rsidR="00CE2ADA" w:rsidRDefault="00CE2ADA" w:rsidP="00CE2ADA">
      <w:pPr>
        <w:jc w:val="both"/>
        <w:rPr>
          <w:rFonts w:ascii="Arial" w:hAnsi="Arial" w:cs="Arial"/>
          <w:sz w:val="24"/>
          <w:szCs w:val="24"/>
        </w:rPr>
      </w:pPr>
      <w:r>
        <w:rPr>
          <w:rFonts w:ascii="Arial" w:hAnsi="Arial" w:cs="Arial"/>
          <w:sz w:val="24"/>
          <w:szCs w:val="24"/>
        </w:rPr>
        <w:t>Резолютивная часть решения суда: «Первоначальные исковые требования удовлетворить. Изъять у индивидуального предпринимателя Соколова Матвея Борисовича объект незавершенного строительства с кадастровым номером 72:25:0101008:1646, степень готовности 16%, площадь застройки 223,7 квадратных метров, расположенный по адресу: Тюменская область, город Ишим, улица Республики, путем продажи с публичных торгов».</w:t>
      </w:r>
    </w:p>
    <w:p w:rsidR="00CE2ADA" w:rsidRDefault="00CE2ADA" w:rsidP="00CE2ADA">
      <w:pPr>
        <w:ind w:right="36"/>
        <w:jc w:val="both"/>
        <w:rPr>
          <w:rFonts w:ascii="Arial" w:hAnsi="Arial" w:cs="Arial"/>
          <w:b/>
          <w:sz w:val="24"/>
          <w:szCs w:val="24"/>
        </w:rPr>
      </w:pPr>
      <w:r>
        <w:rPr>
          <w:rFonts w:ascii="Arial" w:hAnsi="Arial" w:cs="Arial"/>
          <w:b/>
          <w:bCs/>
          <w:sz w:val="24"/>
          <w:szCs w:val="24"/>
        </w:rPr>
        <w:t>Наименование организатора торгов:</w:t>
      </w:r>
      <w:r>
        <w:rPr>
          <w:rFonts w:ascii="Arial" w:hAnsi="Arial" w:cs="Arial"/>
          <w:sz w:val="24"/>
          <w:szCs w:val="24"/>
        </w:rPr>
        <w:t xml:space="preserve"> Департамент имущественных отношений и земельных ресурсов Администрации города Ишима.</w:t>
      </w:r>
    </w:p>
    <w:p w:rsidR="00CE2ADA" w:rsidRDefault="00CE2ADA" w:rsidP="00CE2ADA">
      <w:pPr>
        <w:ind w:right="-82"/>
        <w:rPr>
          <w:rFonts w:ascii="Arial" w:hAnsi="Arial" w:cs="Arial"/>
          <w:spacing w:val="-12"/>
          <w:sz w:val="24"/>
          <w:szCs w:val="24"/>
        </w:rPr>
      </w:pPr>
      <w:r>
        <w:rPr>
          <w:rFonts w:ascii="Arial" w:hAnsi="Arial" w:cs="Arial"/>
          <w:spacing w:val="-8"/>
          <w:sz w:val="24"/>
          <w:szCs w:val="24"/>
        </w:rPr>
        <w:t xml:space="preserve">Местонахождение </w:t>
      </w:r>
      <w:r>
        <w:rPr>
          <w:rFonts w:ascii="Arial" w:hAnsi="Arial" w:cs="Arial"/>
          <w:bCs/>
          <w:spacing w:val="-8"/>
          <w:sz w:val="24"/>
          <w:szCs w:val="24"/>
        </w:rPr>
        <w:t xml:space="preserve">организатора торгов: </w:t>
      </w:r>
      <w:r>
        <w:rPr>
          <w:rFonts w:ascii="Arial" w:hAnsi="Arial" w:cs="Arial"/>
          <w:bCs/>
          <w:spacing w:val="-12"/>
          <w:sz w:val="24"/>
          <w:szCs w:val="24"/>
        </w:rPr>
        <w:t xml:space="preserve">627750, </w:t>
      </w:r>
      <w:r>
        <w:rPr>
          <w:rFonts w:ascii="Arial" w:hAnsi="Arial" w:cs="Arial"/>
          <w:spacing w:val="-12"/>
          <w:sz w:val="24"/>
          <w:szCs w:val="24"/>
        </w:rPr>
        <w:t xml:space="preserve">Тюменская область, </w:t>
      </w:r>
      <w:proofErr w:type="spellStart"/>
      <w:r>
        <w:rPr>
          <w:rFonts w:ascii="Arial" w:hAnsi="Arial" w:cs="Arial"/>
          <w:spacing w:val="-12"/>
          <w:sz w:val="24"/>
          <w:szCs w:val="24"/>
        </w:rPr>
        <w:t>г</w:t>
      </w:r>
      <w:proofErr w:type="gramStart"/>
      <w:r>
        <w:rPr>
          <w:rFonts w:ascii="Arial" w:hAnsi="Arial" w:cs="Arial"/>
          <w:spacing w:val="-12"/>
          <w:sz w:val="24"/>
          <w:szCs w:val="24"/>
        </w:rPr>
        <w:t>.И</w:t>
      </w:r>
      <w:proofErr w:type="gramEnd"/>
      <w:r>
        <w:rPr>
          <w:rFonts w:ascii="Arial" w:hAnsi="Arial" w:cs="Arial"/>
          <w:spacing w:val="-12"/>
          <w:sz w:val="24"/>
          <w:szCs w:val="24"/>
        </w:rPr>
        <w:t>шим</w:t>
      </w:r>
      <w:proofErr w:type="spellEnd"/>
      <w:r>
        <w:rPr>
          <w:rFonts w:ascii="Arial" w:hAnsi="Arial" w:cs="Arial"/>
          <w:spacing w:val="-12"/>
          <w:sz w:val="24"/>
          <w:szCs w:val="24"/>
        </w:rPr>
        <w:t xml:space="preserve">, </w:t>
      </w:r>
      <w:proofErr w:type="spellStart"/>
      <w:r>
        <w:rPr>
          <w:rFonts w:ascii="Arial" w:hAnsi="Arial" w:cs="Arial"/>
          <w:spacing w:val="-12"/>
          <w:sz w:val="24"/>
          <w:szCs w:val="24"/>
        </w:rPr>
        <w:t>ул.Гагарина</w:t>
      </w:r>
      <w:proofErr w:type="spellEnd"/>
      <w:r>
        <w:rPr>
          <w:rFonts w:ascii="Arial" w:hAnsi="Arial" w:cs="Arial"/>
          <w:spacing w:val="-12"/>
          <w:sz w:val="24"/>
          <w:szCs w:val="24"/>
        </w:rPr>
        <w:t>, 67</w:t>
      </w:r>
    </w:p>
    <w:p w:rsidR="00CE2ADA" w:rsidRDefault="00CE2ADA" w:rsidP="00CE2ADA">
      <w:pPr>
        <w:ind w:right="-82"/>
        <w:rPr>
          <w:rFonts w:ascii="Arial" w:hAnsi="Arial" w:cs="Arial"/>
          <w:sz w:val="24"/>
          <w:szCs w:val="24"/>
        </w:rPr>
      </w:pPr>
      <w:r>
        <w:rPr>
          <w:rFonts w:ascii="Arial" w:hAnsi="Arial" w:cs="Arial"/>
          <w:sz w:val="24"/>
          <w:szCs w:val="24"/>
        </w:rPr>
        <w:t xml:space="preserve">Почтовый адрес: 627750, Тюменская область, г. Ишим, ул. Гагарина, 67 </w:t>
      </w:r>
    </w:p>
    <w:p w:rsidR="00CE2ADA" w:rsidRDefault="00CE2ADA" w:rsidP="00CE2ADA">
      <w:pPr>
        <w:ind w:right="-82"/>
        <w:rPr>
          <w:rFonts w:ascii="Arial" w:hAnsi="Arial" w:cs="Arial"/>
          <w:spacing w:val="4"/>
          <w:sz w:val="24"/>
          <w:szCs w:val="24"/>
        </w:rPr>
      </w:pPr>
      <w:r>
        <w:rPr>
          <w:rFonts w:ascii="Arial" w:hAnsi="Arial" w:cs="Arial"/>
          <w:sz w:val="24"/>
          <w:szCs w:val="24"/>
        </w:rPr>
        <w:t xml:space="preserve">Адрес электронной почты: </w:t>
      </w:r>
      <w:hyperlink r:id="rId5" w:history="1">
        <w:r>
          <w:rPr>
            <w:rStyle w:val="a3"/>
            <w:rFonts w:ascii="Arial" w:hAnsi="Arial" w:cs="Arial"/>
            <w:sz w:val="24"/>
            <w:szCs w:val="24"/>
            <w:lang w:val="en-US"/>
          </w:rPr>
          <w:t>dioizr</w:t>
        </w:r>
        <w:r>
          <w:rPr>
            <w:rStyle w:val="a3"/>
            <w:rFonts w:ascii="Arial" w:hAnsi="Arial" w:cs="Arial"/>
            <w:sz w:val="24"/>
            <w:szCs w:val="24"/>
          </w:rPr>
          <w:t>@</w:t>
        </w:r>
        <w:r>
          <w:rPr>
            <w:rStyle w:val="a3"/>
            <w:rFonts w:ascii="Arial" w:hAnsi="Arial" w:cs="Arial"/>
            <w:sz w:val="24"/>
            <w:szCs w:val="24"/>
            <w:lang w:val="en-US"/>
          </w:rPr>
          <w:t>mail</w:t>
        </w:r>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p>
    <w:p w:rsidR="00CE2ADA" w:rsidRDefault="00CE2ADA" w:rsidP="00CE2ADA">
      <w:pPr>
        <w:ind w:right="-82"/>
        <w:rPr>
          <w:rFonts w:ascii="Arial" w:hAnsi="Arial" w:cs="Arial"/>
          <w:sz w:val="24"/>
          <w:szCs w:val="24"/>
        </w:rPr>
      </w:pPr>
      <w:r>
        <w:rPr>
          <w:rFonts w:ascii="Arial" w:hAnsi="Arial" w:cs="Arial"/>
          <w:b/>
          <w:sz w:val="24"/>
          <w:szCs w:val="24"/>
        </w:rPr>
        <w:t>Контактные телефоны организатора торгов:</w:t>
      </w:r>
      <w:r>
        <w:rPr>
          <w:rFonts w:ascii="Arial" w:hAnsi="Arial" w:cs="Arial"/>
          <w:sz w:val="24"/>
          <w:szCs w:val="24"/>
        </w:rPr>
        <w:t xml:space="preserve"> 8 (34551) 5-15-47; 5-15-64.</w:t>
      </w:r>
    </w:p>
    <w:p w:rsidR="00CE2ADA" w:rsidRDefault="00CE2ADA" w:rsidP="00CE2ADA">
      <w:pPr>
        <w:ind w:right="36"/>
        <w:jc w:val="both"/>
        <w:rPr>
          <w:rFonts w:ascii="Arial" w:hAnsi="Arial" w:cs="Arial"/>
          <w:b/>
          <w:sz w:val="24"/>
          <w:szCs w:val="24"/>
        </w:rPr>
      </w:pPr>
    </w:p>
    <w:p w:rsidR="00CE2ADA" w:rsidRDefault="00CE2ADA" w:rsidP="00CE2ADA">
      <w:pPr>
        <w:ind w:right="36"/>
        <w:jc w:val="both"/>
        <w:rPr>
          <w:rFonts w:ascii="Arial" w:hAnsi="Arial" w:cs="Arial"/>
          <w:sz w:val="24"/>
          <w:szCs w:val="24"/>
        </w:rPr>
      </w:pPr>
      <w:r>
        <w:rPr>
          <w:rFonts w:ascii="Arial" w:hAnsi="Arial" w:cs="Arial"/>
          <w:b/>
          <w:sz w:val="24"/>
          <w:szCs w:val="24"/>
        </w:rPr>
        <w:t xml:space="preserve">Форма проведения торгов: </w:t>
      </w:r>
      <w:r>
        <w:rPr>
          <w:rFonts w:ascii="Arial" w:hAnsi="Arial" w:cs="Arial"/>
          <w:sz w:val="24"/>
          <w:szCs w:val="24"/>
        </w:rPr>
        <w:t>Аукцион, открытый по составу участников и по форме подаче заявок.</w:t>
      </w:r>
    </w:p>
    <w:p w:rsidR="00CE2ADA" w:rsidRDefault="00CE2ADA" w:rsidP="00CE2ADA">
      <w:pPr>
        <w:jc w:val="both"/>
        <w:rPr>
          <w:rFonts w:ascii="Arial" w:hAnsi="Arial" w:cs="Arial"/>
          <w:b/>
          <w:sz w:val="24"/>
          <w:szCs w:val="24"/>
        </w:rPr>
      </w:pPr>
    </w:p>
    <w:p w:rsidR="00CE2ADA" w:rsidRDefault="00CE2ADA" w:rsidP="00CE2ADA">
      <w:pPr>
        <w:jc w:val="both"/>
        <w:rPr>
          <w:rFonts w:ascii="Arial" w:hAnsi="Arial" w:cs="Arial"/>
          <w:b/>
          <w:sz w:val="24"/>
          <w:szCs w:val="24"/>
        </w:rPr>
      </w:pPr>
      <w:r>
        <w:rPr>
          <w:rFonts w:ascii="Arial" w:hAnsi="Arial" w:cs="Arial"/>
          <w:b/>
          <w:sz w:val="24"/>
          <w:szCs w:val="24"/>
        </w:rPr>
        <w:t>Порядок, место, даты начала и окончания подачи заявок:</w:t>
      </w:r>
    </w:p>
    <w:p w:rsidR="00CE2ADA" w:rsidRDefault="00CE2ADA" w:rsidP="00CE2ADA">
      <w:pPr>
        <w:overflowPunct/>
        <w:jc w:val="both"/>
        <w:rPr>
          <w:rFonts w:ascii="Arial" w:hAnsi="Arial" w:cs="Arial"/>
          <w:sz w:val="24"/>
          <w:szCs w:val="24"/>
        </w:rPr>
      </w:pPr>
      <w:proofErr w:type="gramStart"/>
      <w:r>
        <w:rPr>
          <w:rFonts w:ascii="Arial" w:hAnsi="Arial" w:cs="Arial"/>
          <w:sz w:val="24"/>
          <w:szCs w:val="24"/>
        </w:rPr>
        <w:t xml:space="preserve">Претенденты подают заявки </w:t>
      </w:r>
      <w:r>
        <w:rPr>
          <w:rFonts w:ascii="Arial" w:hAnsi="Arial" w:cs="Arial"/>
          <w:b/>
          <w:sz w:val="24"/>
          <w:szCs w:val="24"/>
          <w:u w:val="single"/>
        </w:rPr>
        <w:t xml:space="preserve">с 09 часов 00 мин. 23 июля 2021 года до 18 часов            00 мин. 24 августа 2021 года </w:t>
      </w:r>
      <w:r>
        <w:rPr>
          <w:rFonts w:ascii="Arial" w:hAnsi="Arial" w:cs="Arial"/>
          <w:sz w:val="24"/>
          <w:szCs w:val="24"/>
        </w:rPr>
        <w:t>в рабочие дни, кроме выходных и праздничных дней, с понедельника по четверг с 09.00 до 12.30 и с 13.30 до 18.00 часов, в пятницу с 09.00 до 12.30 и с 13.30 до 16.00 часов по адресу:</w:t>
      </w:r>
      <w:proofErr w:type="gramEnd"/>
      <w:r>
        <w:rPr>
          <w:rFonts w:ascii="Arial" w:hAnsi="Arial" w:cs="Arial"/>
          <w:sz w:val="24"/>
          <w:szCs w:val="24"/>
        </w:rPr>
        <w:t xml:space="preserve"> Тюменская обл., г. Ишим,                      ул. Гагарина,67, 2 этаж, каб.218.</w:t>
      </w:r>
    </w:p>
    <w:p w:rsidR="00CE2ADA" w:rsidRDefault="00CE2ADA" w:rsidP="00CE2ADA">
      <w:pPr>
        <w:overflowPunct/>
        <w:jc w:val="both"/>
        <w:rPr>
          <w:rFonts w:ascii="Arial" w:hAnsi="Arial" w:cs="Arial"/>
          <w:b/>
          <w:sz w:val="24"/>
          <w:szCs w:val="24"/>
        </w:rPr>
      </w:pPr>
    </w:p>
    <w:p w:rsidR="00CE2ADA" w:rsidRDefault="00CE2ADA" w:rsidP="00CE2ADA">
      <w:pPr>
        <w:overflowPunct/>
        <w:jc w:val="both"/>
        <w:rPr>
          <w:rFonts w:ascii="Arial" w:hAnsi="Arial" w:cs="Arial"/>
          <w:sz w:val="24"/>
          <w:szCs w:val="24"/>
        </w:rPr>
      </w:pPr>
      <w:r>
        <w:rPr>
          <w:rFonts w:ascii="Arial" w:hAnsi="Arial" w:cs="Arial"/>
          <w:b/>
          <w:sz w:val="24"/>
          <w:szCs w:val="24"/>
        </w:rPr>
        <w:t xml:space="preserve">Сведения о форме заявок на участие в аукционе: </w:t>
      </w:r>
      <w:r>
        <w:rPr>
          <w:rFonts w:ascii="Arial" w:hAnsi="Arial" w:cs="Arial"/>
          <w:sz w:val="24"/>
          <w:szCs w:val="24"/>
        </w:rPr>
        <w:t>Для участия в аукционе претендент представляет организатору аукциона (лично или через своего представителя) в установленный в извещении о проведен</w:t>
      </w:r>
      <w:proofErr w:type="gramStart"/>
      <w:r>
        <w:rPr>
          <w:rFonts w:ascii="Arial" w:hAnsi="Arial" w:cs="Arial"/>
          <w:sz w:val="24"/>
          <w:szCs w:val="24"/>
        </w:rPr>
        <w:t>ии  ау</w:t>
      </w:r>
      <w:proofErr w:type="gramEnd"/>
      <w:r>
        <w:rPr>
          <w:rFonts w:ascii="Arial" w:hAnsi="Arial" w:cs="Arial"/>
          <w:sz w:val="24"/>
          <w:szCs w:val="24"/>
        </w:rPr>
        <w:t xml:space="preserve">кциона срок заявку по форме, утверждаемой организатором аукциона с указанием реквизитов счета для возврата задатка. Один заявитель вправе подать только одну заявку на участие в аукционе. </w:t>
      </w:r>
    </w:p>
    <w:p w:rsidR="00CE2ADA" w:rsidRDefault="00CE2ADA" w:rsidP="00CE2ADA">
      <w:pPr>
        <w:overflowPunct/>
        <w:jc w:val="both"/>
        <w:rPr>
          <w:rFonts w:ascii="Arial" w:hAnsi="Arial" w:cs="Arial"/>
          <w:sz w:val="24"/>
          <w:szCs w:val="24"/>
        </w:rPr>
      </w:pPr>
      <w:r>
        <w:rPr>
          <w:rFonts w:ascii="Arial" w:hAnsi="Arial" w:cs="Arial"/>
          <w:sz w:val="24"/>
          <w:szCs w:val="24"/>
        </w:rPr>
        <w:t>Подать заявку на участие в аукционе может лицо, которое вправе приобрести объект незавершенного строительства в собственность.</w:t>
      </w:r>
    </w:p>
    <w:p w:rsidR="00CE2ADA" w:rsidRDefault="00CE2ADA" w:rsidP="00CE2ADA">
      <w:pPr>
        <w:overflowPunct/>
        <w:jc w:val="both"/>
        <w:rPr>
          <w:rFonts w:ascii="Arial" w:hAnsi="Arial" w:cs="Arial"/>
          <w:sz w:val="24"/>
          <w:szCs w:val="24"/>
          <w:highlight w:val="green"/>
        </w:rPr>
      </w:pPr>
      <w:r>
        <w:rPr>
          <w:rFonts w:ascii="Arial" w:hAnsi="Arial" w:cs="Arial"/>
          <w:b/>
          <w:sz w:val="24"/>
          <w:szCs w:val="24"/>
        </w:rPr>
        <w:t xml:space="preserve">Документация об аукционе размещена: </w:t>
      </w:r>
      <w:r>
        <w:rPr>
          <w:rFonts w:ascii="Arial" w:hAnsi="Arial" w:cs="Arial"/>
          <w:sz w:val="24"/>
          <w:szCs w:val="24"/>
        </w:rPr>
        <w:t>в газете «</w:t>
      </w:r>
      <w:proofErr w:type="spellStart"/>
      <w:proofErr w:type="gramStart"/>
      <w:r>
        <w:rPr>
          <w:rFonts w:ascii="Arial" w:hAnsi="Arial" w:cs="Arial"/>
          <w:sz w:val="24"/>
          <w:szCs w:val="24"/>
        </w:rPr>
        <w:t>Ишимская</w:t>
      </w:r>
      <w:proofErr w:type="spellEnd"/>
      <w:proofErr w:type="gramEnd"/>
      <w:r>
        <w:rPr>
          <w:rFonts w:ascii="Arial" w:hAnsi="Arial" w:cs="Arial"/>
          <w:sz w:val="24"/>
          <w:szCs w:val="24"/>
        </w:rPr>
        <w:t xml:space="preserve"> правда», в сети «Интернет» по адресу: </w:t>
      </w:r>
      <w:hyperlink r:id="rId6" w:history="1">
        <w:r>
          <w:rPr>
            <w:rStyle w:val="a3"/>
            <w:rFonts w:ascii="Arial" w:hAnsi="Arial" w:cs="Arial"/>
            <w:sz w:val="24"/>
            <w:szCs w:val="24"/>
          </w:rPr>
          <w:t>www.torgi.gov.ru</w:t>
        </w:r>
      </w:hyperlink>
      <w:r>
        <w:rPr>
          <w:rFonts w:ascii="Arial" w:hAnsi="Arial" w:cs="Arial"/>
          <w:sz w:val="24"/>
          <w:szCs w:val="24"/>
        </w:rPr>
        <w:t xml:space="preserve"> и </w:t>
      </w:r>
      <w:hyperlink r:id="rId7" w:history="1">
        <w:r>
          <w:rPr>
            <w:rStyle w:val="a3"/>
            <w:rFonts w:ascii="Arial" w:hAnsi="Arial" w:cs="Arial"/>
            <w:spacing w:val="4"/>
            <w:sz w:val="24"/>
            <w:szCs w:val="24"/>
            <w:lang w:val="en-US"/>
          </w:rPr>
          <w:t>www</w:t>
        </w:r>
        <w:r>
          <w:rPr>
            <w:rStyle w:val="a3"/>
            <w:rFonts w:ascii="Arial" w:hAnsi="Arial" w:cs="Arial"/>
            <w:spacing w:val="4"/>
            <w:sz w:val="24"/>
            <w:szCs w:val="24"/>
          </w:rPr>
          <w:t>.</w:t>
        </w:r>
        <w:proofErr w:type="spellStart"/>
        <w:r>
          <w:rPr>
            <w:rStyle w:val="a3"/>
            <w:rFonts w:ascii="Arial" w:hAnsi="Arial" w:cs="Arial"/>
            <w:spacing w:val="4"/>
            <w:sz w:val="24"/>
            <w:szCs w:val="24"/>
            <w:lang w:val="en-US"/>
          </w:rPr>
          <w:t>ishim</w:t>
        </w:r>
        <w:proofErr w:type="spellEnd"/>
        <w:r>
          <w:rPr>
            <w:rStyle w:val="a3"/>
            <w:rFonts w:ascii="Arial" w:hAnsi="Arial" w:cs="Arial"/>
            <w:spacing w:val="4"/>
            <w:sz w:val="24"/>
            <w:szCs w:val="24"/>
          </w:rPr>
          <w:t>.</w:t>
        </w:r>
        <w:proofErr w:type="spellStart"/>
        <w:r>
          <w:rPr>
            <w:rStyle w:val="a3"/>
            <w:rFonts w:ascii="Arial" w:hAnsi="Arial" w:cs="Arial"/>
            <w:spacing w:val="4"/>
            <w:sz w:val="24"/>
            <w:szCs w:val="24"/>
            <w:lang w:val="en-US"/>
          </w:rPr>
          <w:t>admtyumen</w:t>
        </w:r>
        <w:proofErr w:type="spellEnd"/>
        <w:r>
          <w:rPr>
            <w:rStyle w:val="a3"/>
            <w:rFonts w:ascii="Arial" w:hAnsi="Arial" w:cs="Arial"/>
            <w:spacing w:val="4"/>
            <w:sz w:val="24"/>
            <w:szCs w:val="24"/>
          </w:rPr>
          <w:t>.</w:t>
        </w:r>
        <w:proofErr w:type="spellStart"/>
        <w:r>
          <w:rPr>
            <w:rStyle w:val="a3"/>
            <w:rFonts w:ascii="Arial" w:hAnsi="Arial" w:cs="Arial"/>
            <w:spacing w:val="4"/>
            <w:sz w:val="24"/>
            <w:szCs w:val="24"/>
            <w:lang w:val="en-US"/>
          </w:rPr>
          <w:t>ru</w:t>
        </w:r>
        <w:proofErr w:type="spellEnd"/>
      </w:hyperlink>
      <w:r>
        <w:rPr>
          <w:rFonts w:ascii="Arial" w:hAnsi="Arial" w:cs="Arial"/>
          <w:sz w:val="24"/>
          <w:szCs w:val="24"/>
        </w:rPr>
        <w:t>;</w:t>
      </w:r>
    </w:p>
    <w:p w:rsidR="00CE2ADA" w:rsidRDefault="00CE2ADA" w:rsidP="00CE2ADA">
      <w:pPr>
        <w:overflowPunct/>
        <w:jc w:val="both"/>
        <w:rPr>
          <w:rFonts w:ascii="Arial" w:hAnsi="Arial" w:cs="Arial"/>
          <w:b/>
          <w:sz w:val="24"/>
          <w:szCs w:val="24"/>
        </w:rPr>
      </w:pPr>
      <w:r>
        <w:rPr>
          <w:rFonts w:ascii="Arial" w:hAnsi="Arial" w:cs="Arial"/>
          <w:b/>
          <w:sz w:val="24"/>
          <w:szCs w:val="24"/>
        </w:rPr>
        <w:t>Место, дата и время рассмотрение заявок на участие в аукционе:</w:t>
      </w:r>
    </w:p>
    <w:p w:rsidR="00CE2ADA" w:rsidRDefault="00CE2ADA" w:rsidP="00CE2ADA">
      <w:pPr>
        <w:overflowPunct/>
        <w:jc w:val="both"/>
        <w:rPr>
          <w:rFonts w:ascii="Arial" w:hAnsi="Arial" w:cs="Arial"/>
          <w:spacing w:val="6"/>
          <w:sz w:val="24"/>
          <w:szCs w:val="24"/>
        </w:rPr>
      </w:pPr>
      <w:r>
        <w:rPr>
          <w:rFonts w:ascii="Arial" w:hAnsi="Arial" w:cs="Arial"/>
          <w:spacing w:val="6"/>
          <w:sz w:val="24"/>
          <w:szCs w:val="24"/>
        </w:rPr>
        <w:t xml:space="preserve">Рассмотрение заявок на участие в аукционе и определение участников аукциона состоится по адресу: Тюменская обл., г. Ишим, ул. Гагарина,67, 2 этаж, каб.218 – </w:t>
      </w:r>
      <w:r>
        <w:rPr>
          <w:rFonts w:ascii="Arial" w:hAnsi="Arial" w:cs="Arial"/>
          <w:b/>
          <w:spacing w:val="6"/>
          <w:sz w:val="24"/>
          <w:szCs w:val="24"/>
        </w:rPr>
        <w:t>26 августа</w:t>
      </w:r>
      <w:r>
        <w:rPr>
          <w:rFonts w:ascii="Arial" w:hAnsi="Arial" w:cs="Arial"/>
          <w:spacing w:val="6"/>
          <w:sz w:val="24"/>
          <w:szCs w:val="24"/>
        </w:rPr>
        <w:t xml:space="preserve"> </w:t>
      </w:r>
      <w:r>
        <w:rPr>
          <w:rFonts w:ascii="Arial" w:hAnsi="Arial" w:cs="Arial"/>
          <w:b/>
          <w:sz w:val="24"/>
          <w:szCs w:val="24"/>
        </w:rPr>
        <w:t>2021 года</w:t>
      </w:r>
      <w:r>
        <w:rPr>
          <w:rFonts w:ascii="Arial" w:hAnsi="Arial" w:cs="Arial"/>
          <w:spacing w:val="6"/>
          <w:sz w:val="24"/>
          <w:szCs w:val="24"/>
        </w:rPr>
        <w:t xml:space="preserve"> с 09.00 часов до 15.00 часов по местному времени.</w:t>
      </w:r>
    </w:p>
    <w:p w:rsidR="00CE2ADA" w:rsidRDefault="00CE2ADA" w:rsidP="00CE2ADA">
      <w:pPr>
        <w:overflowPunct/>
        <w:jc w:val="both"/>
        <w:rPr>
          <w:rFonts w:ascii="Arial" w:hAnsi="Arial" w:cs="Arial"/>
          <w:spacing w:val="-6"/>
          <w:sz w:val="24"/>
          <w:szCs w:val="24"/>
        </w:rPr>
      </w:pPr>
      <w:r>
        <w:rPr>
          <w:rFonts w:ascii="Arial" w:hAnsi="Arial" w:cs="Arial"/>
          <w:spacing w:val="-6"/>
          <w:sz w:val="24"/>
          <w:szCs w:val="24"/>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CE2ADA" w:rsidRDefault="00CE2ADA" w:rsidP="00CE2ADA">
      <w:pPr>
        <w:overflowPunct/>
        <w:jc w:val="both"/>
        <w:rPr>
          <w:rFonts w:ascii="Arial" w:hAnsi="Arial" w:cs="Arial"/>
          <w:b/>
          <w:sz w:val="24"/>
          <w:szCs w:val="24"/>
        </w:rPr>
      </w:pPr>
    </w:p>
    <w:p w:rsidR="00CE2ADA" w:rsidRDefault="00CE2ADA" w:rsidP="00CE2ADA">
      <w:pPr>
        <w:overflowPunct/>
        <w:jc w:val="both"/>
        <w:rPr>
          <w:rFonts w:ascii="Arial" w:hAnsi="Arial" w:cs="Arial"/>
          <w:b/>
          <w:sz w:val="24"/>
          <w:szCs w:val="24"/>
        </w:rPr>
      </w:pPr>
      <w:r>
        <w:rPr>
          <w:rFonts w:ascii="Arial" w:hAnsi="Arial" w:cs="Arial"/>
          <w:b/>
          <w:sz w:val="24"/>
          <w:szCs w:val="24"/>
        </w:rPr>
        <w:t>Место, дата и время проведения аукциона:</w:t>
      </w:r>
    </w:p>
    <w:p w:rsidR="00CE2ADA" w:rsidRPr="00CE2ADA" w:rsidRDefault="00CE2ADA" w:rsidP="00CE2ADA">
      <w:pPr>
        <w:overflowPunct/>
        <w:jc w:val="both"/>
        <w:rPr>
          <w:rFonts w:ascii="Arial" w:hAnsi="Arial" w:cs="Arial"/>
          <w:b/>
          <w:sz w:val="24"/>
          <w:szCs w:val="24"/>
        </w:rPr>
      </w:pPr>
      <w:r>
        <w:rPr>
          <w:rFonts w:ascii="Arial" w:hAnsi="Arial" w:cs="Arial"/>
          <w:b/>
          <w:spacing w:val="-4"/>
          <w:sz w:val="24"/>
          <w:szCs w:val="24"/>
        </w:rPr>
        <w:lastRenderedPageBreak/>
        <w:t>Аукцион состоится</w:t>
      </w:r>
      <w:r>
        <w:rPr>
          <w:rFonts w:ascii="Arial" w:hAnsi="Arial" w:cs="Arial"/>
          <w:spacing w:val="-4"/>
          <w:sz w:val="24"/>
          <w:szCs w:val="24"/>
        </w:rPr>
        <w:t xml:space="preserve"> </w:t>
      </w:r>
      <w:r>
        <w:rPr>
          <w:rFonts w:ascii="Arial" w:hAnsi="Arial" w:cs="Arial"/>
          <w:b/>
          <w:spacing w:val="-4"/>
          <w:sz w:val="24"/>
          <w:szCs w:val="24"/>
          <w:u w:val="single"/>
        </w:rPr>
        <w:t>27 августа 2021 года</w:t>
      </w:r>
      <w:r>
        <w:rPr>
          <w:rFonts w:ascii="Arial" w:hAnsi="Arial" w:cs="Arial"/>
          <w:spacing w:val="-4"/>
          <w:sz w:val="24"/>
          <w:szCs w:val="24"/>
          <w:u w:val="single"/>
        </w:rPr>
        <w:t xml:space="preserve"> </w:t>
      </w:r>
      <w:r>
        <w:rPr>
          <w:rFonts w:ascii="Arial" w:hAnsi="Arial" w:cs="Arial"/>
          <w:b/>
          <w:spacing w:val="-4"/>
          <w:sz w:val="24"/>
          <w:szCs w:val="24"/>
          <w:u w:val="single"/>
        </w:rPr>
        <w:t>в 11:00 часов</w:t>
      </w:r>
      <w:r>
        <w:rPr>
          <w:rFonts w:ascii="Arial" w:hAnsi="Arial" w:cs="Arial"/>
          <w:spacing w:val="-4"/>
          <w:sz w:val="24"/>
          <w:szCs w:val="24"/>
        </w:rPr>
        <w:t xml:space="preserve"> по местному времени, по адресу: Тюменская обл., г. Ишим, ул. Гагарина,67, Малый зал Администрации, каб.120.</w:t>
      </w:r>
    </w:p>
    <w:p w:rsidR="00CE2ADA" w:rsidRDefault="00CE2ADA" w:rsidP="00CE2ADA">
      <w:pPr>
        <w:overflowPunct/>
        <w:jc w:val="both"/>
        <w:rPr>
          <w:rFonts w:ascii="Arial" w:hAnsi="Arial" w:cs="Arial"/>
          <w:b/>
          <w:sz w:val="24"/>
          <w:szCs w:val="24"/>
        </w:rPr>
      </w:pPr>
    </w:p>
    <w:p w:rsidR="00CE2ADA" w:rsidRDefault="00CE2ADA" w:rsidP="00CE2ADA">
      <w:pPr>
        <w:overflowPunct/>
        <w:jc w:val="both"/>
        <w:rPr>
          <w:rFonts w:ascii="Arial" w:hAnsi="Arial" w:cs="Arial"/>
          <w:b/>
          <w:sz w:val="24"/>
          <w:szCs w:val="24"/>
        </w:rPr>
      </w:pPr>
      <w:r>
        <w:rPr>
          <w:rFonts w:ascii="Arial" w:hAnsi="Arial" w:cs="Arial"/>
          <w:b/>
          <w:sz w:val="24"/>
          <w:szCs w:val="24"/>
        </w:rPr>
        <w:t>Порядок проведения аукциона:</w:t>
      </w:r>
    </w:p>
    <w:p w:rsidR="00CE2ADA" w:rsidRDefault="00CE2ADA" w:rsidP="00CE2ADA">
      <w:pPr>
        <w:widowControl w:val="0"/>
        <w:overflowPunct/>
        <w:jc w:val="both"/>
        <w:rPr>
          <w:rFonts w:ascii="Arial" w:hAnsi="Arial" w:cs="Arial"/>
          <w:sz w:val="24"/>
          <w:szCs w:val="24"/>
        </w:rPr>
      </w:pPr>
      <w:r>
        <w:rPr>
          <w:rFonts w:ascii="Arial" w:hAnsi="Arial" w:cs="Arial"/>
          <w:sz w:val="24"/>
          <w:szCs w:val="24"/>
        </w:rPr>
        <w:t xml:space="preserve">Аукцион проводится </w:t>
      </w:r>
      <w:r>
        <w:rPr>
          <w:rFonts w:ascii="Arial" w:hAnsi="Arial" w:cs="Arial"/>
          <w:spacing w:val="-4"/>
          <w:sz w:val="24"/>
          <w:szCs w:val="24"/>
          <w:u w:val="single"/>
        </w:rPr>
        <w:t>27 августа 2021 года</w:t>
      </w:r>
      <w:r>
        <w:rPr>
          <w:rFonts w:ascii="Arial" w:hAnsi="Arial" w:cs="Arial"/>
          <w:spacing w:val="-4"/>
          <w:sz w:val="24"/>
          <w:szCs w:val="24"/>
        </w:rPr>
        <w:t xml:space="preserve"> в 11:00 часов</w:t>
      </w:r>
      <w:r>
        <w:rPr>
          <w:rFonts w:ascii="Arial" w:hAnsi="Arial" w:cs="Arial"/>
          <w:sz w:val="24"/>
          <w:szCs w:val="24"/>
        </w:rPr>
        <w:t xml:space="preserve"> по местному времени, по адресу: Тюменская обл., г. Ишим, ул. Гагарина,67, Малый зал Администрации, в следующем порядке:</w:t>
      </w:r>
    </w:p>
    <w:p w:rsidR="00CE2ADA" w:rsidRDefault="00CE2ADA" w:rsidP="00CE2ADA">
      <w:pPr>
        <w:widowControl w:val="0"/>
        <w:overflowPunct/>
        <w:jc w:val="both"/>
        <w:rPr>
          <w:rFonts w:ascii="Arial" w:hAnsi="Arial" w:cs="Arial"/>
          <w:sz w:val="24"/>
          <w:szCs w:val="24"/>
        </w:rPr>
      </w:pPr>
      <w:r>
        <w:rPr>
          <w:rFonts w:ascii="Arial" w:hAnsi="Arial" w:cs="Arial"/>
          <w:sz w:val="24"/>
          <w:szCs w:val="24"/>
        </w:rPr>
        <w:t>-аукцион ведет аукционист;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течение всего аукциона;</w:t>
      </w:r>
    </w:p>
    <w:p w:rsidR="00CE2ADA" w:rsidRDefault="00CE2ADA" w:rsidP="00CE2ADA">
      <w:pPr>
        <w:widowControl w:val="0"/>
        <w:overflowPunct/>
        <w:jc w:val="both"/>
        <w:rPr>
          <w:rFonts w:ascii="Arial" w:hAnsi="Arial" w:cs="Arial"/>
          <w:sz w:val="24"/>
          <w:szCs w:val="24"/>
        </w:rPr>
      </w:pPr>
      <w:r>
        <w:rPr>
          <w:rFonts w:ascii="Arial" w:hAnsi="Arial" w:cs="Arial"/>
          <w:sz w:val="24"/>
          <w:szCs w:val="24"/>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последующей цены превышающей </w:t>
      </w:r>
      <w:proofErr w:type="gramStart"/>
      <w:r>
        <w:rPr>
          <w:rFonts w:ascii="Arial" w:hAnsi="Arial" w:cs="Arial"/>
          <w:sz w:val="24"/>
          <w:szCs w:val="24"/>
        </w:rPr>
        <w:t>предыдущую</w:t>
      </w:r>
      <w:proofErr w:type="gramEnd"/>
      <w:r>
        <w:rPr>
          <w:rFonts w:ascii="Arial" w:hAnsi="Arial" w:cs="Arial"/>
          <w:sz w:val="24"/>
          <w:szCs w:val="24"/>
        </w:rPr>
        <w:t xml:space="preserve"> на «шаг аукциона» в случае, если готовы заключить договор купли-продажи в соответствии с этой ценой предмета аукциона;</w:t>
      </w:r>
    </w:p>
    <w:p w:rsidR="00CE2ADA" w:rsidRDefault="00CE2ADA" w:rsidP="00CE2ADA">
      <w:pPr>
        <w:widowControl w:val="0"/>
        <w:overflowPunct/>
        <w:jc w:val="both"/>
        <w:rPr>
          <w:rFonts w:ascii="Arial" w:hAnsi="Arial" w:cs="Arial"/>
          <w:spacing w:val="-6"/>
          <w:sz w:val="24"/>
          <w:szCs w:val="24"/>
        </w:rPr>
      </w:pPr>
      <w:r>
        <w:rPr>
          <w:rFonts w:ascii="Arial" w:hAnsi="Arial" w:cs="Arial"/>
          <w:spacing w:val="-6"/>
          <w:sz w:val="24"/>
          <w:szCs w:val="24"/>
        </w:rPr>
        <w:t>-каждый последующий размер цены предмета аукциона аукционист назначает путем увеличения размера цены на "шаг аукциона". После объявления очередного размера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предмета аукциона в соответствии с "шагом аукциона";</w:t>
      </w:r>
    </w:p>
    <w:p w:rsidR="00CE2ADA" w:rsidRDefault="00CE2ADA" w:rsidP="00CE2ADA">
      <w:pPr>
        <w:widowControl w:val="0"/>
        <w:overflowPunct/>
        <w:jc w:val="both"/>
        <w:rPr>
          <w:rFonts w:ascii="Arial" w:hAnsi="Arial" w:cs="Arial"/>
          <w:sz w:val="24"/>
          <w:szCs w:val="24"/>
        </w:rPr>
      </w:pPr>
      <w:r>
        <w:rPr>
          <w:rFonts w:ascii="Arial" w:hAnsi="Arial" w:cs="Arial"/>
          <w:sz w:val="24"/>
          <w:szCs w:val="24"/>
        </w:rPr>
        <w:t xml:space="preserve">-при отсутствии участников аукциона, готовых заключить договор купли-продажи в соответствии с названным аукционистом размером </w:t>
      </w:r>
      <w:r>
        <w:rPr>
          <w:rFonts w:ascii="Arial" w:hAnsi="Arial" w:cs="Arial"/>
          <w:spacing w:val="-6"/>
          <w:sz w:val="24"/>
          <w:szCs w:val="24"/>
        </w:rPr>
        <w:t>цены предмета аукциона</w:t>
      </w:r>
      <w:r>
        <w:rPr>
          <w:rFonts w:ascii="Arial" w:hAnsi="Arial" w:cs="Arial"/>
          <w:sz w:val="24"/>
          <w:szCs w:val="24"/>
        </w:rPr>
        <w:t xml:space="preserve">, аукционист повторяет этот размер </w:t>
      </w:r>
      <w:r>
        <w:rPr>
          <w:rFonts w:ascii="Arial" w:hAnsi="Arial" w:cs="Arial"/>
          <w:spacing w:val="-6"/>
          <w:sz w:val="24"/>
          <w:szCs w:val="24"/>
        </w:rPr>
        <w:t>цены предмета аукциона</w:t>
      </w:r>
      <w:r>
        <w:rPr>
          <w:rFonts w:ascii="Arial" w:hAnsi="Arial" w:cs="Arial"/>
          <w:sz w:val="24"/>
          <w:szCs w:val="24"/>
        </w:rPr>
        <w:t xml:space="preserve"> 3 (три) раза. </w:t>
      </w:r>
    </w:p>
    <w:p w:rsidR="00CE2ADA" w:rsidRDefault="00CE2ADA" w:rsidP="00CE2ADA">
      <w:pPr>
        <w:widowControl w:val="0"/>
        <w:overflowPunct/>
        <w:jc w:val="both"/>
        <w:rPr>
          <w:rFonts w:ascii="Arial" w:hAnsi="Arial" w:cs="Arial"/>
          <w:spacing w:val="-4"/>
          <w:sz w:val="24"/>
          <w:szCs w:val="24"/>
        </w:rPr>
      </w:pPr>
      <w:r>
        <w:rPr>
          <w:rFonts w:ascii="Arial" w:hAnsi="Arial" w:cs="Arial"/>
          <w:spacing w:val="-4"/>
          <w:sz w:val="24"/>
          <w:szCs w:val="24"/>
        </w:rPr>
        <w:t xml:space="preserve">Если после троекратного объявления размера </w:t>
      </w:r>
      <w:r>
        <w:rPr>
          <w:rFonts w:ascii="Arial" w:hAnsi="Arial" w:cs="Arial"/>
          <w:spacing w:val="-6"/>
          <w:sz w:val="24"/>
          <w:szCs w:val="24"/>
        </w:rPr>
        <w:t xml:space="preserve">цены предмета аукциона </w:t>
      </w:r>
      <w:r>
        <w:rPr>
          <w:rFonts w:ascii="Arial" w:hAnsi="Arial" w:cs="Arial"/>
          <w:spacing w:val="-4"/>
          <w:sz w:val="24"/>
          <w:szCs w:val="24"/>
        </w:rPr>
        <w:t>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E2ADA" w:rsidRDefault="00CE2ADA" w:rsidP="00CE2ADA">
      <w:pPr>
        <w:widowControl w:val="0"/>
        <w:overflowPunct/>
        <w:jc w:val="both"/>
        <w:rPr>
          <w:rFonts w:ascii="Arial" w:hAnsi="Arial" w:cs="Arial"/>
          <w:sz w:val="24"/>
          <w:szCs w:val="24"/>
        </w:rPr>
      </w:pPr>
      <w:r>
        <w:rPr>
          <w:rFonts w:ascii="Arial" w:hAnsi="Arial" w:cs="Arial"/>
          <w:sz w:val="24"/>
          <w:szCs w:val="24"/>
        </w:rPr>
        <w:t>-по завершен</w:t>
      </w:r>
      <w:proofErr w:type="gramStart"/>
      <w:r>
        <w:rPr>
          <w:rFonts w:ascii="Arial" w:hAnsi="Arial" w:cs="Arial"/>
          <w:sz w:val="24"/>
          <w:szCs w:val="24"/>
        </w:rPr>
        <w:t>ии ау</w:t>
      </w:r>
      <w:proofErr w:type="gramEnd"/>
      <w:r>
        <w:rPr>
          <w:rFonts w:ascii="Arial" w:hAnsi="Arial" w:cs="Arial"/>
          <w:sz w:val="24"/>
          <w:szCs w:val="24"/>
        </w:rPr>
        <w:t>кциона аукционист объявляет о продаже объекта незавершенного строительства, называет размер цены продажи объекта незавершенного строительства и номер билета победителя аукциона.</w:t>
      </w:r>
    </w:p>
    <w:p w:rsidR="00CE2ADA" w:rsidRDefault="00CE2ADA" w:rsidP="00CE2ADA">
      <w:pPr>
        <w:widowControl w:val="0"/>
        <w:overflowPunct/>
        <w:jc w:val="both"/>
        <w:rPr>
          <w:rFonts w:ascii="Arial" w:hAnsi="Arial" w:cs="Arial"/>
          <w:sz w:val="24"/>
          <w:szCs w:val="24"/>
        </w:rPr>
      </w:pPr>
    </w:p>
    <w:p w:rsidR="00CE2ADA" w:rsidRDefault="00CE2ADA" w:rsidP="00CE2ADA">
      <w:pPr>
        <w:overflowPunct/>
        <w:jc w:val="both"/>
        <w:rPr>
          <w:rFonts w:ascii="Arial" w:hAnsi="Arial" w:cs="Arial"/>
          <w:sz w:val="24"/>
          <w:szCs w:val="24"/>
        </w:rPr>
      </w:pPr>
      <w:r>
        <w:rPr>
          <w:rFonts w:ascii="Arial" w:hAnsi="Arial" w:cs="Arial"/>
          <w:sz w:val="24"/>
          <w:szCs w:val="24"/>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опубликованию в газете «</w:t>
      </w:r>
      <w:proofErr w:type="spellStart"/>
      <w:r>
        <w:rPr>
          <w:rFonts w:ascii="Arial" w:hAnsi="Arial" w:cs="Arial"/>
          <w:sz w:val="24"/>
          <w:szCs w:val="24"/>
        </w:rPr>
        <w:t>Ишимская</w:t>
      </w:r>
      <w:proofErr w:type="spellEnd"/>
      <w:r>
        <w:rPr>
          <w:rFonts w:ascii="Arial" w:hAnsi="Arial" w:cs="Arial"/>
          <w:sz w:val="24"/>
          <w:szCs w:val="24"/>
        </w:rPr>
        <w:t xml:space="preserve"> правда», размещению в информационно-телекоммуникационной сети «Интернет». </w:t>
      </w:r>
    </w:p>
    <w:p w:rsidR="00CE2ADA" w:rsidRDefault="00CE2ADA" w:rsidP="00CE2ADA">
      <w:pPr>
        <w:overflowPunct/>
        <w:jc w:val="both"/>
        <w:rPr>
          <w:rFonts w:ascii="Calibri" w:hAnsi="Calibri" w:cs="Calibri"/>
          <w:sz w:val="22"/>
          <w:szCs w:val="22"/>
          <w:highlight w:val="green"/>
        </w:rPr>
      </w:pPr>
    </w:p>
    <w:p w:rsidR="00CE2ADA" w:rsidRDefault="00CE2ADA" w:rsidP="00CE2ADA">
      <w:pPr>
        <w:overflowPunct/>
        <w:jc w:val="both"/>
        <w:rPr>
          <w:rFonts w:ascii="Arial" w:hAnsi="Arial" w:cs="Arial"/>
          <w:sz w:val="24"/>
          <w:szCs w:val="24"/>
        </w:rPr>
      </w:pPr>
      <w:proofErr w:type="gramStart"/>
      <w:r>
        <w:rPr>
          <w:rFonts w:ascii="Arial"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Pr>
          <w:rFonts w:ascii="Arial" w:hAnsi="Arial" w:cs="Arial"/>
          <w:sz w:val="24"/>
          <w:szCs w:val="24"/>
        </w:rPr>
        <w:t xml:space="preserve"> подана ни одна заявка, аукцион признается несостоявшимся.</w:t>
      </w:r>
    </w:p>
    <w:p w:rsidR="00CE2ADA" w:rsidRDefault="00CE2ADA" w:rsidP="00CE2ADA">
      <w:pPr>
        <w:widowControl w:val="0"/>
        <w:overflowPunct/>
        <w:jc w:val="both"/>
        <w:rPr>
          <w:rFonts w:ascii="Arial" w:hAnsi="Arial" w:cs="Arial"/>
          <w:sz w:val="24"/>
          <w:szCs w:val="24"/>
        </w:rPr>
      </w:pPr>
    </w:p>
    <w:p w:rsidR="00CE2ADA" w:rsidRDefault="00CE2ADA" w:rsidP="00CE2ADA">
      <w:pPr>
        <w:jc w:val="both"/>
        <w:rPr>
          <w:rFonts w:ascii="Arial" w:hAnsi="Arial" w:cs="Arial"/>
          <w:sz w:val="24"/>
          <w:szCs w:val="24"/>
        </w:rPr>
      </w:pPr>
      <w:r>
        <w:rPr>
          <w:rFonts w:ascii="Arial" w:hAnsi="Arial" w:cs="Arial"/>
          <w:b/>
          <w:sz w:val="24"/>
          <w:szCs w:val="24"/>
        </w:rPr>
        <w:t>Предмет аукциона</w:t>
      </w:r>
      <w:r>
        <w:rPr>
          <w:rFonts w:ascii="Arial" w:hAnsi="Arial" w:cs="Arial"/>
          <w:sz w:val="24"/>
          <w:szCs w:val="24"/>
        </w:rPr>
        <w:t xml:space="preserve"> – право на заключение договора купли-продажи объекта незавершенного строительства.</w:t>
      </w:r>
    </w:p>
    <w:p w:rsidR="00CE2ADA" w:rsidRDefault="00CE2ADA" w:rsidP="00CE2ADA">
      <w:pPr>
        <w:tabs>
          <w:tab w:val="left" w:pos="0"/>
        </w:tabs>
        <w:suppressAutoHyphens/>
        <w:ind w:right="-1"/>
        <w:jc w:val="both"/>
        <w:rPr>
          <w:rFonts w:ascii="Arial" w:hAnsi="Arial" w:cs="Arial"/>
          <w:b/>
          <w:sz w:val="24"/>
          <w:szCs w:val="24"/>
          <w:u w:val="single"/>
        </w:rPr>
      </w:pPr>
    </w:p>
    <w:p w:rsidR="00CE2ADA" w:rsidRDefault="00CE2ADA" w:rsidP="00CE2ADA">
      <w:pPr>
        <w:tabs>
          <w:tab w:val="left" w:pos="0"/>
        </w:tabs>
        <w:suppressAutoHyphens/>
        <w:ind w:right="-1"/>
        <w:jc w:val="both"/>
        <w:rPr>
          <w:rFonts w:ascii="Arial" w:hAnsi="Arial" w:cs="Arial"/>
          <w:color w:val="000000"/>
          <w:sz w:val="24"/>
          <w:szCs w:val="24"/>
        </w:rPr>
      </w:pPr>
      <w:r>
        <w:rPr>
          <w:rFonts w:ascii="Arial" w:hAnsi="Arial" w:cs="Arial"/>
          <w:b/>
          <w:sz w:val="24"/>
          <w:szCs w:val="24"/>
          <w:u w:val="single"/>
        </w:rPr>
        <w:lastRenderedPageBreak/>
        <w:t>ЛОТ № 1</w:t>
      </w:r>
      <w:r>
        <w:rPr>
          <w:rFonts w:ascii="Arial" w:hAnsi="Arial" w:cs="Arial"/>
          <w:b/>
          <w:sz w:val="24"/>
          <w:szCs w:val="24"/>
        </w:rPr>
        <w:t xml:space="preserve">  </w:t>
      </w:r>
      <w:r>
        <w:rPr>
          <w:rFonts w:ascii="Arial" w:hAnsi="Arial" w:cs="Arial"/>
          <w:sz w:val="24"/>
          <w:szCs w:val="24"/>
        </w:rPr>
        <w:t xml:space="preserve">- </w:t>
      </w:r>
      <w:r>
        <w:rPr>
          <w:rFonts w:ascii="Arial" w:hAnsi="Arial" w:cs="Arial"/>
          <w:spacing w:val="-4"/>
          <w:sz w:val="24"/>
          <w:szCs w:val="24"/>
        </w:rPr>
        <w:t xml:space="preserve">объект незавершенного строительства, по адресу: </w:t>
      </w:r>
      <w:r>
        <w:rPr>
          <w:rFonts w:ascii="Arial" w:hAnsi="Arial" w:cs="Arial"/>
          <w:color w:val="000000"/>
          <w:sz w:val="24"/>
          <w:szCs w:val="24"/>
        </w:rPr>
        <w:t>Тюменская область, г. Ишим, ул. Республики.</w:t>
      </w:r>
    </w:p>
    <w:p w:rsidR="00CE2ADA" w:rsidRDefault="00CE2ADA" w:rsidP="00CE2ADA">
      <w:pPr>
        <w:tabs>
          <w:tab w:val="left" w:pos="0"/>
        </w:tabs>
        <w:suppressAutoHyphens/>
        <w:ind w:right="-1"/>
        <w:jc w:val="both"/>
        <w:rPr>
          <w:rFonts w:ascii="Arial" w:hAnsi="Arial" w:cs="Arial"/>
          <w:color w:val="000000"/>
          <w:sz w:val="24"/>
          <w:szCs w:val="24"/>
        </w:rPr>
      </w:pPr>
      <w:r>
        <w:rPr>
          <w:rFonts w:ascii="Arial" w:hAnsi="Arial" w:cs="Arial"/>
          <w:color w:val="000000"/>
          <w:sz w:val="24"/>
          <w:szCs w:val="24"/>
          <w:u w:val="single"/>
        </w:rPr>
        <w:t>Местоположение (адрес)</w:t>
      </w:r>
      <w:r>
        <w:rPr>
          <w:rFonts w:ascii="Arial" w:hAnsi="Arial" w:cs="Arial"/>
          <w:color w:val="000000"/>
          <w:sz w:val="24"/>
          <w:szCs w:val="24"/>
        </w:rPr>
        <w:t xml:space="preserve"> – Тюменская область, г. Ишим, ул. Республики.</w:t>
      </w:r>
    </w:p>
    <w:p w:rsidR="00CE2ADA" w:rsidRDefault="00CE2ADA" w:rsidP="00CE2ADA">
      <w:pPr>
        <w:tabs>
          <w:tab w:val="left" w:pos="0"/>
        </w:tabs>
        <w:suppressAutoHyphens/>
        <w:ind w:right="-1"/>
        <w:jc w:val="both"/>
        <w:rPr>
          <w:rFonts w:ascii="Arial" w:hAnsi="Arial" w:cs="Arial"/>
          <w:color w:val="000000"/>
          <w:sz w:val="24"/>
          <w:szCs w:val="24"/>
          <w:highlight w:val="yellow"/>
          <w:u w:val="single"/>
        </w:rPr>
      </w:pPr>
      <w:r>
        <w:rPr>
          <w:rFonts w:ascii="Arial" w:hAnsi="Arial" w:cs="Arial"/>
          <w:sz w:val="24"/>
          <w:szCs w:val="24"/>
          <w:u w:val="single"/>
        </w:rPr>
        <w:t>Сведения об объекте незавершенного строительства:</w:t>
      </w:r>
    </w:p>
    <w:p w:rsidR="00CE2ADA" w:rsidRDefault="00CE2ADA" w:rsidP="00CE2ADA">
      <w:pPr>
        <w:pStyle w:val="western"/>
        <w:spacing w:before="0" w:beforeAutospacing="0"/>
      </w:pPr>
      <w:r>
        <w:rPr>
          <w:rFonts w:ascii="Arial" w:hAnsi="Arial" w:cs="Arial"/>
        </w:rPr>
        <w:t>- степень готовности объекта незавершенного строительства – 16%</w:t>
      </w:r>
      <w:r>
        <w:rPr>
          <w:rFonts w:ascii="Arial" w:hAnsi="Arial" w:cs="Arial"/>
          <w:shd w:val="clear" w:color="auto" w:fill="FFFFFF"/>
        </w:rPr>
        <w:t>;</w:t>
      </w:r>
    </w:p>
    <w:p w:rsidR="00CE2ADA" w:rsidRDefault="00CE2ADA" w:rsidP="00CE2ADA">
      <w:pPr>
        <w:pStyle w:val="western"/>
        <w:spacing w:before="0" w:beforeAutospacing="0"/>
      </w:pPr>
      <w:r>
        <w:rPr>
          <w:rFonts w:ascii="Arial" w:hAnsi="Arial" w:cs="Arial"/>
        </w:rPr>
        <w:t>- кадастровый номер объекта незавершенного строительства – 72:25:0101008:1283;</w:t>
      </w:r>
    </w:p>
    <w:p w:rsidR="00CE2ADA" w:rsidRDefault="00CE2ADA" w:rsidP="00CE2ADA">
      <w:pPr>
        <w:pStyle w:val="western"/>
        <w:spacing w:before="0" w:beforeAutospacing="0"/>
      </w:pPr>
      <w:r>
        <w:rPr>
          <w:rFonts w:ascii="Arial" w:hAnsi="Arial" w:cs="Arial"/>
        </w:rPr>
        <w:t>- площадь застройки объекта незавершенного строительства – 223,7 кв. м.;</w:t>
      </w:r>
    </w:p>
    <w:p w:rsidR="00CE2ADA" w:rsidRDefault="00CE2ADA" w:rsidP="00CE2ADA">
      <w:pPr>
        <w:pStyle w:val="western"/>
        <w:spacing w:before="0" w:beforeAutospacing="0"/>
        <w:rPr>
          <w:rFonts w:ascii="Arial" w:hAnsi="Arial" w:cs="Arial"/>
        </w:rPr>
      </w:pPr>
      <w:r>
        <w:rPr>
          <w:rFonts w:ascii="Arial" w:hAnsi="Arial" w:cs="Arial"/>
        </w:rPr>
        <w:t>- проектируемое назначение – нежилое.</w:t>
      </w:r>
    </w:p>
    <w:p w:rsidR="00CE2ADA" w:rsidRDefault="00CE2ADA" w:rsidP="00CE2ADA">
      <w:pPr>
        <w:pStyle w:val="western"/>
        <w:spacing w:before="0" w:beforeAutospacing="0"/>
        <w:rPr>
          <w:rFonts w:ascii="Arial" w:hAnsi="Arial" w:cs="Arial"/>
        </w:rPr>
      </w:pPr>
      <w:r>
        <w:rPr>
          <w:rFonts w:ascii="Arial" w:hAnsi="Arial" w:cs="Arial"/>
          <w:u w:val="single"/>
        </w:rPr>
        <w:t>Сведения о земельном участке, на котором расположен объект незавершенного строительства</w:t>
      </w:r>
      <w:r>
        <w:rPr>
          <w:rFonts w:ascii="Arial" w:hAnsi="Arial" w:cs="Arial"/>
        </w:rPr>
        <w:t>:</w:t>
      </w:r>
    </w:p>
    <w:p w:rsidR="00CE2ADA" w:rsidRDefault="00CE2ADA" w:rsidP="00CE2ADA">
      <w:pPr>
        <w:pStyle w:val="western"/>
        <w:spacing w:before="0" w:beforeAutospacing="0"/>
        <w:rPr>
          <w:rFonts w:ascii="Arial" w:hAnsi="Arial" w:cs="Arial"/>
        </w:rPr>
      </w:pPr>
      <w:r>
        <w:rPr>
          <w:rFonts w:ascii="Arial" w:hAnsi="Arial" w:cs="Arial"/>
        </w:rPr>
        <w:t>-местоположение – Тюменская область, г. Ишим, ул. Республики;</w:t>
      </w:r>
    </w:p>
    <w:p w:rsidR="00CE2ADA" w:rsidRDefault="00CE2ADA" w:rsidP="00CE2ADA">
      <w:pPr>
        <w:pStyle w:val="western"/>
        <w:spacing w:before="0" w:beforeAutospacing="0"/>
        <w:rPr>
          <w:rFonts w:ascii="Arial" w:hAnsi="Arial" w:cs="Arial"/>
        </w:rPr>
      </w:pPr>
      <w:r>
        <w:rPr>
          <w:rFonts w:ascii="Arial" w:hAnsi="Arial" w:cs="Arial"/>
        </w:rPr>
        <w:t xml:space="preserve">- площадь – 454 </w:t>
      </w:r>
      <w:proofErr w:type="spellStart"/>
      <w:r>
        <w:rPr>
          <w:rFonts w:ascii="Arial" w:hAnsi="Arial" w:cs="Arial"/>
        </w:rPr>
        <w:t>кв.м</w:t>
      </w:r>
      <w:proofErr w:type="spellEnd"/>
      <w:r>
        <w:rPr>
          <w:rFonts w:ascii="Arial" w:hAnsi="Arial" w:cs="Arial"/>
        </w:rPr>
        <w:t>.;</w:t>
      </w:r>
    </w:p>
    <w:p w:rsidR="00CE2ADA" w:rsidRDefault="00CE2ADA" w:rsidP="00CE2ADA">
      <w:pPr>
        <w:pStyle w:val="western"/>
        <w:spacing w:before="0" w:beforeAutospacing="0"/>
        <w:rPr>
          <w:rFonts w:ascii="Arial" w:hAnsi="Arial" w:cs="Arial"/>
        </w:rPr>
      </w:pPr>
      <w:r>
        <w:rPr>
          <w:rFonts w:ascii="Arial" w:hAnsi="Arial" w:cs="Arial"/>
        </w:rPr>
        <w:t>- кадастровый номер земельного участка – 72:25:0101008:1283</w:t>
      </w:r>
    </w:p>
    <w:p w:rsidR="00CE2ADA" w:rsidRDefault="00CE2ADA" w:rsidP="00CE2ADA">
      <w:pPr>
        <w:pStyle w:val="western"/>
        <w:spacing w:before="0" w:beforeAutospacing="0"/>
        <w:rPr>
          <w:rFonts w:ascii="Arial" w:hAnsi="Arial" w:cs="Arial"/>
        </w:rPr>
      </w:pPr>
      <w:r>
        <w:rPr>
          <w:rFonts w:ascii="Arial" w:hAnsi="Arial" w:cs="Arial"/>
        </w:rPr>
        <w:t xml:space="preserve">- разрешенное использование земельного участка </w:t>
      </w:r>
      <w:r>
        <w:rPr>
          <w:rFonts w:ascii="Arial" w:hAnsi="Arial" w:cs="Arial"/>
          <w:color w:val="auto"/>
          <w:sz w:val="26"/>
          <w:szCs w:val="26"/>
        </w:rPr>
        <w:t xml:space="preserve">– </w:t>
      </w:r>
      <w:r>
        <w:rPr>
          <w:rFonts w:ascii="Arial" w:hAnsi="Arial" w:cs="Arial"/>
          <w:color w:val="auto"/>
          <w:sz w:val="26"/>
          <w:szCs w:val="26"/>
          <w:shd w:val="clear" w:color="auto" w:fill="FFFFFF"/>
        </w:rPr>
        <w:t>под строительство здания административно-делового назначения (офис) по ул. Республики;</w:t>
      </w:r>
    </w:p>
    <w:p w:rsidR="00CE2ADA" w:rsidRDefault="00CE2ADA" w:rsidP="00CE2ADA">
      <w:pPr>
        <w:pStyle w:val="western"/>
        <w:spacing w:before="0" w:beforeAutospacing="0" w:line="276" w:lineRule="auto"/>
      </w:pPr>
      <w:r>
        <w:rPr>
          <w:rFonts w:ascii="Arial" w:hAnsi="Arial" w:cs="Arial"/>
        </w:rPr>
        <w:t xml:space="preserve">- </w:t>
      </w:r>
      <w:r>
        <w:rPr>
          <w:rFonts w:ascii="Arial" w:hAnsi="Arial" w:cs="Arial"/>
          <w:color w:val="auto"/>
        </w:rPr>
        <w:t>ограничения использования земельного участка - нет</w:t>
      </w:r>
    </w:p>
    <w:p w:rsidR="00CE2ADA" w:rsidRDefault="00CE2ADA" w:rsidP="00CE2ADA">
      <w:pPr>
        <w:pStyle w:val="western"/>
        <w:spacing w:before="0" w:beforeAutospacing="0" w:line="276" w:lineRule="auto"/>
        <w:rPr>
          <w:rFonts w:ascii="Arial" w:hAnsi="Arial" w:cs="Arial"/>
        </w:rPr>
      </w:pPr>
      <w:r>
        <w:rPr>
          <w:rFonts w:ascii="Arial" w:hAnsi="Arial" w:cs="Arial"/>
        </w:rPr>
        <w:t>-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709"/>
        <w:gridCol w:w="3295"/>
        <w:gridCol w:w="1559"/>
        <w:gridCol w:w="1701"/>
        <w:gridCol w:w="1593"/>
        <w:gridCol w:w="779"/>
        <w:gridCol w:w="27"/>
      </w:tblGrid>
      <w:tr w:rsidR="00CE2ADA" w:rsidTr="00CE2ADA">
        <w:tc>
          <w:tcPr>
            <w:tcW w:w="1951" w:type="dxa"/>
            <w:gridSpan w:val="3"/>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jc w:val="left"/>
              <w:rPr>
                <w:rFonts w:ascii="Arial" w:hAnsi="Arial" w:cs="Arial"/>
                <w:sz w:val="18"/>
                <w:szCs w:val="18"/>
              </w:rPr>
            </w:pPr>
            <w:r>
              <w:rPr>
                <w:rFonts w:ascii="Arial" w:hAnsi="Arial" w:cs="Arial"/>
                <w:sz w:val="18"/>
                <w:szCs w:val="18"/>
              </w:rPr>
              <w:t>Предельные (минимальные и (или) максимальные) размеры земельных участков, в том числе их площади</w:t>
            </w:r>
          </w:p>
        </w:tc>
        <w:tc>
          <w:tcPr>
            <w:tcW w:w="3295"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jc w:val="left"/>
              <w:rPr>
                <w:rFonts w:ascii="Arial" w:hAnsi="Arial" w:cs="Arial"/>
                <w:sz w:val="18"/>
                <w:szCs w:val="18"/>
              </w:rPr>
            </w:pPr>
            <w:r>
              <w:rPr>
                <w:rFonts w:ascii="Arial" w:hAnsi="Arial" w:cs="Arial"/>
                <w:sz w:val="18"/>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jc w:val="left"/>
              <w:rPr>
                <w:rFonts w:ascii="Arial" w:hAnsi="Arial" w:cs="Arial"/>
                <w:sz w:val="18"/>
                <w:szCs w:val="18"/>
              </w:rPr>
            </w:pPr>
            <w:r>
              <w:rPr>
                <w:rFonts w:ascii="Arial" w:hAnsi="Arial" w:cs="Arial"/>
                <w:sz w:val="18"/>
                <w:szCs w:val="18"/>
              </w:rPr>
              <w:t>Предельное количество этажей и (или) предельная высота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jc w:val="left"/>
              <w:rPr>
                <w:rFonts w:ascii="Arial" w:hAnsi="Arial" w:cs="Arial"/>
                <w:sz w:val="18"/>
                <w:szCs w:val="18"/>
              </w:rPr>
            </w:pPr>
            <w:r>
              <w:rPr>
                <w:rFonts w:ascii="Arial" w:hAnsi="Arial" w:cs="Arial"/>
                <w:sz w:val="18"/>
                <w:szCs w:val="18"/>
              </w:rPr>
              <w:t>Максимальный процент застройки в границах земельного участка, определяемый как отношений суммарной площади земельного участка, которая может быть застроена, ко всей площади земельного участка</w:t>
            </w:r>
          </w:p>
        </w:tc>
        <w:tc>
          <w:tcPr>
            <w:tcW w:w="1593"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jc w:val="left"/>
              <w:rPr>
                <w:rFonts w:ascii="Arial" w:hAnsi="Arial" w:cs="Arial"/>
                <w:sz w:val="18"/>
                <w:szCs w:val="18"/>
              </w:rPr>
            </w:pPr>
            <w:r>
              <w:rPr>
                <w:rFonts w:ascii="Arial" w:hAnsi="Arial" w:cs="Arial"/>
                <w:sz w:val="18"/>
                <w:szCs w:val="18"/>
              </w:rPr>
              <w:t xml:space="preserve">Требования к </w:t>
            </w:r>
            <w:proofErr w:type="gramStart"/>
            <w:r>
              <w:rPr>
                <w:rFonts w:ascii="Arial" w:hAnsi="Arial" w:cs="Arial"/>
                <w:sz w:val="18"/>
                <w:szCs w:val="18"/>
              </w:rPr>
              <w:t>архитектурным решениям</w:t>
            </w:r>
            <w:proofErr w:type="gramEnd"/>
            <w:r>
              <w:rPr>
                <w:rFonts w:ascii="Arial" w:hAnsi="Arial" w:cs="Arial"/>
                <w:sz w:val="18"/>
                <w:szCs w:val="1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806" w:type="dxa"/>
            <w:gridSpan w:val="2"/>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jc w:val="left"/>
              <w:rPr>
                <w:rFonts w:ascii="Arial" w:hAnsi="Arial" w:cs="Arial"/>
                <w:sz w:val="18"/>
                <w:szCs w:val="18"/>
              </w:rPr>
            </w:pPr>
            <w:r>
              <w:rPr>
                <w:rFonts w:ascii="Arial" w:hAnsi="Arial" w:cs="Arial"/>
                <w:sz w:val="18"/>
                <w:szCs w:val="18"/>
              </w:rPr>
              <w:t>Иные показатели</w:t>
            </w:r>
          </w:p>
        </w:tc>
      </w:tr>
      <w:tr w:rsidR="00CE2ADA" w:rsidTr="00CE2ADA">
        <w:trPr>
          <w:gridAfter w:val="1"/>
          <w:wAfter w:w="27" w:type="dxa"/>
        </w:trPr>
        <w:tc>
          <w:tcPr>
            <w:tcW w:w="675"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1</w:t>
            </w:r>
          </w:p>
        </w:tc>
        <w:tc>
          <w:tcPr>
            <w:tcW w:w="567"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2</w:t>
            </w:r>
          </w:p>
        </w:tc>
        <w:tc>
          <w:tcPr>
            <w:tcW w:w="709"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3</w:t>
            </w:r>
          </w:p>
        </w:tc>
        <w:tc>
          <w:tcPr>
            <w:tcW w:w="3295"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6</w:t>
            </w:r>
          </w:p>
        </w:tc>
        <w:tc>
          <w:tcPr>
            <w:tcW w:w="1593"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t>7</w:t>
            </w:r>
          </w:p>
        </w:tc>
        <w:tc>
          <w:tcPr>
            <w:tcW w:w="779"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right="205" w:firstLine="0"/>
              <w:rPr>
                <w:rFonts w:ascii="Arial" w:hAnsi="Arial" w:cs="Arial"/>
                <w:sz w:val="20"/>
              </w:rPr>
            </w:pPr>
            <w:r>
              <w:rPr>
                <w:rFonts w:ascii="Arial" w:hAnsi="Arial" w:cs="Arial"/>
                <w:sz w:val="20"/>
              </w:rPr>
              <w:t>8</w:t>
            </w:r>
          </w:p>
        </w:tc>
      </w:tr>
      <w:tr w:rsidR="00CE2ADA" w:rsidTr="00CE2ADA">
        <w:trPr>
          <w:gridAfter w:val="1"/>
          <w:wAfter w:w="27" w:type="dxa"/>
        </w:trPr>
        <w:tc>
          <w:tcPr>
            <w:tcW w:w="675"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18"/>
                <w:szCs w:val="18"/>
              </w:rPr>
            </w:pPr>
            <w:r>
              <w:rPr>
                <w:rFonts w:ascii="Arial" w:hAnsi="Arial" w:cs="Arial"/>
                <w:sz w:val="18"/>
                <w:szCs w:val="18"/>
              </w:rPr>
              <w:t xml:space="preserve">Длина, </w:t>
            </w:r>
            <w:proofErr w:type="gramStart"/>
            <w:r>
              <w:rPr>
                <w:rFonts w:ascii="Arial" w:hAnsi="Arial" w:cs="Arial"/>
                <w:sz w:val="18"/>
                <w:szCs w:val="18"/>
              </w:rPr>
              <w:t>м</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18"/>
                <w:szCs w:val="18"/>
              </w:rPr>
            </w:pPr>
            <w:r>
              <w:rPr>
                <w:rFonts w:ascii="Arial" w:hAnsi="Arial" w:cs="Arial"/>
                <w:sz w:val="18"/>
                <w:szCs w:val="18"/>
              </w:rPr>
              <w:t xml:space="preserve">Ширина, </w:t>
            </w:r>
            <w:proofErr w:type="gramStart"/>
            <w:r>
              <w:rPr>
                <w:rFonts w:ascii="Arial" w:hAnsi="Arial" w:cs="Arial"/>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18"/>
                <w:szCs w:val="18"/>
              </w:rPr>
            </w:pPr>
            <w:r>
              <w:rPr>
                <w:rFonts w:ascii="Arial" w:hAnsi="Arial" w:cs="Arial"/>
                <w:sz w:val="18"/>
                <w:szCs w:val="18"/>
              </w:rPr>
              <w:t>Площадь м</w:t>
            </w:r>
            <w:proofErr w:type="gramStart"/>
            <w:r>
              <w:rPr>
                <w:rFonts w:ascii="Arial" w:hAnsi="Arial" w:cs="Arial"/>
                <w:sz w:val="18"/>
                <w:szCs w:val="18"/>
              </w:rPr>
              <w:t>2</w:t>
            </w:r>
            <w:proofErr w:type="gramEnd"/>
            <w:r>
              <w:rPr>
                <w:rFonts w:ascii="Arial" w:hAnsi="Arial" w:cs="Arial"/>
                <w:sz w:val="18"/>
                <w:szCs w:val="18"/>
              </w:rPr>
              <w:t xml:space="preserve"> или га</w:t>
            </w: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r>
      <w:tr w:rsidR="00CE2ADA" w:rsidTr="00CE2ADA">
        <w:trPr>
          <w:gridAfter w:val="1"/>
          <w:wAfter w:w="27" w:type="dxa"/>
        </w:trPr>
        <w:tc>
          <w:tcPr>
            <w:tcW w:w="1951" w:type="dxa"/>
            <w:gridSpan w:val="3"/>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18"/>
                <w:szCs w:val="18"/>
              </w:rPr>
              <w:t>Не менее</w:t>
            </w:r>
            <w:r>
              <w:rPr>
                <w:rFonts w:ascii="Arial" w:hAnsi="Arial" w:cs="Arial"/>
                <w:sz w:val="20"/>
              </w:rPr>
              <w:t xml:space="preserve"> 14 м.</w:t>
            </w:r>
          </w:p>
        </w:tc>
        <w:tc>
          <w:tcPr>
            <w:tcW w:w="3295" w:type="dxa"/>
            <w:vMerge w:val="restart"/>
            <w:tcBorders>
              <w:top w:val="single" w:sz="4" w:space="0" w:color="auto"/>
              <w:left w:val="single" w:sz="4" w:space="0" w:color="auto"/>
              <w:bottom w:val="single" w:sz="4" w:space="0" w:color="auto"/>
              <w:right w:val="single" w:sz="4" w:space="0" w:color="auto"/>
            </w:tcBorders>
          </w:tcPr>
          <w:p w:rsidR="00CE2ADA" w:rsidRDefault="00CE2ADA">
            <w:pPr>
              <w:pStyle w:val="22"/>
              <w:ind w:firstLine="0"/>
              <w:rPr>
                <w:rFonts w:ascii="Arial" w:hAnsi="Arial" w:cs="Arial"/>
                <w:sz w:val="20"/>
              </w:rPr>
            </w:pPr>
            <w:r>
              <w:rPr>
                <w:rFonts w:ascii="Arial" w:hAnsi="Arial" w:cs="Arial"/>
                <w:sz w:val="20"/>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CE2ADA" w:rsidRDefault="00CE2ADA">
            <w:pPr>
              <w:pStyle w:val="22"/>
              <w:ind w:firstLine="0"/>
              <w:rPr>
                <w:rFonts w:ascii="Arial" w:hAnsi="Arial" w:cs="Arial"/>
                <w:sz w:val="20"/>
              </w:rPr>
            </w:pPr>
            <w:r>
              <w:rPr>
                <w:rFonts w:ascii="Arial" w:hAnsi="Arial" w:cs="Arial"/>
                <w:sz w:val="20"/>
              </w:rPr>
              <w:t xml:space="preserve">Для открытых автомобильных стоянок, объектов благоустройства и сооружений инженерной инфраструктуры вспомогательного </w:t>
            </w:r>
            <w:r>
              <w:rPr>
                <w:rFonts w:ascii="Arial" w:hAnsi="Arial" w:cs="Arial"/>
                <w:sz w:val="20"/>
              </w:rPr>
              <w:lastRenderedPageBreak/>
              <w:t xml:space="preserve">использования минимальные отступы от границ земельных участков не устанавливается. </w:t>
            </w:r>
          </w:p>
          <w:p w:rsidR="00CE2ADA" w:rsidRDefault="00CE2ADA">
            <w:pPr>
              <w:pStyle w:val="22"/>
              <w:ind w:firstLine="0"/>
              <w:rPr>
                <w:rFonts w:ascii="Arial" w:hAnsi="Arial" w:cs="Arial"/>
                <w:sz w:val="20"/>
              </w:rPr>
            </w:pPr>
          </w:p>
          <w:p w:rsidR="00CE2ADA" w:rsidRDefault="00CE2ADA">
            <w:pPr>
              <w:pStyle w:val="22"/>
              <w:ind w:firstLine="0"/>
              <w:rPr>
                <w:rFonts w:ascii="Arial" w:hAnsi="Arial" w:cs="Arial"/>
                <w:sz w:val="20"/>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lastRenderedPageBreak/>
              <w:t>Для всех видов разрешенного использования за исключением видов «</w:t>
            </w:r>
            <w:proofErr w:type="spellStart"/>
            <w:r>
              <w:rPr>
                <w:rFonts w:ascii="Arial" w:hAnsi="Arial" w:cs="Arial"/>
                <w:sz w:val="20"/>
              </w:rPr>
              <w:t>Среднеэтажная</w:t>
            </w:r>
            <w:proofErr w:type="spellEnd"/>
            <w:r>
              <w:rPr>
                <w:rFonts w:ascii="Arial" w:hAnsi="Arial" w:cs="Arial"/>
                <w:sz w:val="20"/>
              </w:rPr>
              <w:t xml:space="preserve"> жилая застройка», «Для индивидуального жилищного строительства»  и </w:t>
            </w:r>
            <w:r>
              <w:rPr>
                <w:rFonts w:ascii="Arial" w:hAnsi="Arial" w:cs="Arial"/>
                <w:sz w:val="20"/>
              </w:rPr>
              <w:lastRenderedPageBreak/>
              <w:t>«Блокированная жилая застройка»: Максимальное количество этажей – 4.</w:t>
            </w:r>
          </w:p>
          <w:p w:rsidR="00CE2ADA" w:rsidRDefault="00CE2ADA">
            <w:pPr>
              <w:pStyle w:val="22"/>
              <w:ind w:firstLine="0"/>
              <w:rPr>
                <w:rFonts w:ascii="Arial" w:hAnsi="Arial" w:cs="Arial"/>
                <w:sz w:val="20"/>
              </w:rPr>
            </w:pPr>
            <w:r>
              <w:rPr>
                <w:rFonts w:ascii="Arial" w:hAnsi="Arial" w:cs="Arial"/>
                <w:sz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ind w:firstLine="0"/>
              <w:rPr>
                <w:rFonts w:ascii="Arial" w:hAnsi="Arial" w:cs="Arial"/>
                <w:sz w:val="20"/>
              </w:rPr>
            </w:pPr>
            <w:r>
              <w:rPr>
                <w:rFonts w:ascii="Arial" w:hAnsi="Arial" w:cs="Arial"/>
                <w:sz w:val="20"/>
              </w:rPr>
              <w:lastRenderedPageBreak/>
              <w:t xml:space="preserve">65% </w:t>
            </w:r>
          </w:p>
        </w:tc>
        <w:tc>
          <w:tcPr>
            <w:tcW w:w="1593"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rPr>
                <w:rFonts w:ascii="Arial" w:hAnsi="Arial" w:cs="Arial"/>
                <w:sz w:val="20"/>
              </w:rPr>
            </w:pPr>
            <w:r>
              <w:rPr>
                <w:rFonts w:ascii="Arial" w:hAnsi="Arial" w:cs="Arial"/>
                <w:sz w:val="20"/>
              </w:rPr>
              <w:t>-</w:t>
            </w:r>
          </w:p>
        </w:tc>
        <w:tc>
          <w:tcPr>
            <w:tcW w:w="779" w:type="dxa"/>
            <w:vMerge w:val="restart"/>
            <w:tcBorders>
              <w:top w:val="single" w:sz="4" w:space="0" w:color="auto"/>
              <w:left w:val="single" w:sz="4" w:space="0" w:color="auto"/>
              <w:bottom w:val="single" w:sz="4" w:space="0" w:color="auto"/>
              <w:right w:val="single" w:sz="4" w:space="0" w:color="auto"/>
            </w:tcBorders>
            <w:hideMark/>
          </w:tcPr>
          <w:p w:rsidR="00CE2ADA" w:rsidRDefault="00CE2ADA">
            <w:pPr>
              <w:pStyle w:val="22"/>
              <w:rPr>
                <w:rFonts w:ascii="Arial" w:hAnsi="Arial" w:cs="Arial"/>
                <w:sz w:val="20"/>
                <w:highlight w:val="yellow"/>
              </w:rPr>
            </w:pPr>
            <w:r>
              <w:rPr>
                <w:rFonts w:ascii="Arial" w:hAnsi="Arial" w:cs="Arial"/>
                <w:sz w:val="20"/>
                <w:highlight w:val="yellow"/>
              </w:rPr>
              <w:t>с</w:t>
            </w:r>
          </w:p>
        </w:tc>
      </w:tr>
      <w:tr w:rsidR="00CE2ADA" w:rsidTr="00CE2ADA">
        <w:trPr>
          <w:gridAfter w:val="1"/>
          <w:wAfter w:w="27" w:type="dxa"/>
        </w:trPr>
        <w:tc>
          <w:tcPr>
            <w:tcW w:w="675" w:type="dxa"/>
            <w:tcBorders>
              <w:top w:val="single" w:sz="4" w:space="0" w:color="auto"/>
              <w:left w:val="single" w:sz="4" w:space="0" w:color="auto"/>
              <w:bottom w:val="single" w:sz="4" w:space="0" w:color="auto"/>
              <w:right w:val="single" w:sz="4" w:space="0" w:color="auto"/>
            </w:tcBorders>
          </w:tcPr>
          <w:p w:rsidR="00CE2ADA" w:rsidRDefault="00CE2ADA">
            <w:pPr>
              <w:pStyle w:val="22"/>
              <w:ind w:firstLine="0"/>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CE2ADA" w:rsidRDefault="00CE2ADA">
            <w:pPr>
              <w:pStyle w:val="22"/>
              <w:ind w:firstLine="0"/>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rsidR="00CE2ADA" w:rsidRDefault="00CE2ADA">
            <w:pPr>
              <w:pStyle w:val="22"/>
              <w:ind w:firstLine="0"/>
              <w:rPr>
                <w:rFonts w:ascii="Arial" w:hAnsi="Arial" w:cs="Arial"/>
                <w:sz w:val="20"/>
              </w:rPr>
            </w:pP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E2ADA" w:rsidRDefault="00CE2ADA">
            <w:pPr>
              <w:overflowPunct/>
              <w:autoSpaceDE/>
              <w:autoSpaceDN/>
              <w:adjustRightInd/>
              <w:rPr>
                <w:rFonts w:ascii="Arial" w:hAnsi="Arial" w:cs="Arial"/>
                <w:highlight w:val="yellow"/>
              </w:rPr>
            </w:pPr>
          </w:p>
        </w:tc>
      </w:tr>
    </w:tbl>
    <w:p w:rsidR="00CE2ADA" w:rsidRDefault="00CE2ADA" w:rsidP="00CE2ADA">
      <w:pPr>
        <w:tabs>
          <w:tab w:val="left" w:pos="0"/>
        </w:tabs>
        <w:suppressAutoHyphens/>
        <w:ind w:right="-1"/>
        <w:jc w:val="both"/>
        <w:rPr>
          <w:rFonts w:ascii="Arial" w:hAnsi="Arial" w:cs="Arial"/>
          <w:sz w:val="24"/>
          <w:szCs w:val="24"/>
          <w:u w:val="single"/>
        </w:rPr>
      </w:pPr>
    </w:p>
    <w:p w:rsidR="00CE2ADA" w:rsidRDefault="00CE2ADA" w:rsidP="00CE2ADA">
      <w:pPr>
        <w:tabs>
          <w:tab w:val="left" w:pos="540"/>
          <w:tab w:val="left" w:pos="720"/>
          <w:tab w:val="right" w:leader="dot" w:pos="4762"/>
        </w:tabs>
        <w:spacing w:line="160" w:lineRule="atLeast"/>
        <w:jc w:val="both"/>
        <w:rPr>
          <w:rFonts w:ascii="Arial" w:hAnsi="Arial" w:cs="Arial"/>
          <w:sz w:val="24"/>
          <w:szCs w:val="24"/>
        </w:rPr>
      </w:pPr>
      <w:r>
        <w:rPr>
          <w:rFonts w:ascii="Arial" w:hAnsi="Arial" w:cs="Arial"/>
          <w:sz w:val="24"/>
          <w:szCs w:val="24"/>
        </w:rPr>
        <w:t>Начальная цена предмета торгов (цена продажи объекта незавершенного строительства) – 580 577,00 (пятьсот восемьдесят тысяч пятьсот семьдесят семь) руб. 00 коп</w:t>
      </w:r>
      <w:proofErr w:type="gramStart"/>
      <w:r>
        <w:rPr>
          <w:rFonts w:ascii="Arial" w:hAnsi="Arial" w:cs="Arial"/>
          <w:sz w:val="24"/>
          <w:szCs w:val="24"/>
        </w:rPr>
        <w:t xml:space="preserve">., </w:t>
      </w:r>
      <w:proofErr w:type="gramEnd"/>
      <w:r>
        <w:rPr>
          <w:rFonts w:ascii="Arial" w:hAnsi="Arial" w:cs="Arial"/>
          <w:sz w:val="24"/>
          <w:szCs w:val="24"/>
        </w:rPr>
        <w:t>на основании отчета №372/21 по определению рыночной стоимости объектов оценки от 07.06.2021, выполненного ООО «ВЕГА».</w:t>
      </w:r>
    </w:p>
    <w:p w:rsidR="00CE2ADA" w:rsidRDefault="00CE2ADA" w:rsidP="00CE2ADA">
      <w:pPr>
        <w:tabs>
          <w:tab w:val="left" w:pos="540"/>
          <w:tab w:val="left" w:pos="720"/>
          <w:tab w:val="right" w:leader="dot" w:pos="4762"/>
        </w:tabs>
        <w:spacing w:line="160" w:lineRule="atLeast"/>
        <w:jc w:val="both"/>
        <w:rPr>
          <w:rFonts w:ascii="Arial" w:hAnsi="Arial" w:cs="Arial"/>
          <w:sz w:val="24"/>
          <w:szCs w:val="24"/>
        </w:rPr>
      </w:pPr>
      <w:r>
        <w:rPr>
          <w:rFonts w:ascii="Arial" w:hAnsi="Arial" w:cs="Arial"/>
          <w:sz w:val="24"/>
          <w:szCs w:val="24"/>
        </w:rPr>
        <w:t xml:space="preserve">Шаг аукциона установлен в размере 1% начальной цены предмета аукциона, что составляет 5 805,77 (пять тысяч восемьсот пять) руб. 77 коп. </w:t>
      </w:r>
    </w:p>
    <w:p w:rsidR="00CE2ADA" w:rsidRDefault="00CE2ADA" w:rsidP="00CE2ADA">
      <w:pPr>
        <w:tabs>
          <w:tab w:val="left" w:pos="540"/>
          <w:tab w:val="left" w:pos="720"/>
          <w:tab w:val="right" w:leader="dot" w:pos="4762"/>
        </w:tabs>
        <w:spacing w:line="160" w:lineRule="atLeast"/>
        <w:jc w:val="both"/>
        <w:rPr>
          <w:rFonts w:ascii="Arial" w:hAnsi="Arial" w:cs="Arial"/>
          <w:sz w:val="24"/>
          <w:szCs w:val="24"/>
        </w:rPr>
      </w:pPr>
      <w:r>
        <w:rPr>
          <w:rFonts w:ascii="Arial" w:hAnsi="Arial" w:cs="Arial"/>
          <w:sz w:val="24"/>
          <w:szCs w:val="24"/>
        </w:rPr>
        <w:t>Размер задатка определен 20% начальной цены – 116 115,40 (сто шестнадцать тысяч сто пятнадцать) руб. 40 коп.</w:t>
      </w:r>
    </w:p>
    <w:p w:rsidR="00CE2ADA" w:rsidRDefault="00CE2ADA" w:rsidP="00CE2ADA">
      <w:pPr>
        <w:tabs>
          <w:tab w:val="left" w:pos="540"/>
          <w:tab w:val="left" w:pos="720"/>
          <w:tab w:val="right" w:leader="dot" w:pos="4762"/>
        </w:tabs>
        <w:spacing w:line="160" w:lineRule="atLeast"/>
        <w:jc w:val="both"/>
        <w:rPr>
          <w:b/>
          <w:sz w:val="24"/>
          <w:szCs w:val="24"/>
        </w:rPr>
      </w:pPr>
    </w:p>
    <w:p w:rsidR="00CE2ADA" w:rsidRDefault="00CE2ADA" w:rsidP="00CE2ADA">
      <w:pPr>
        <w:tabs>
          <w:tab w:val="left" w:pos="0"/>
        </w:tabs>
        <w:suppressAutoHyphens/>
        <w:ind w:right="-1"/>
        <w:jc w:val="both"/>
        <w:rPr>
          <w:rFonts w:ascii="Arial" w:hAnsi="Arial" w:cs="Arial"/>
          <w:b/>
          <w:iCs/>
          <w:sz w:val="24"/>
          <w:szCs w:val="24"/>
        </w:rPr>
      </w:pPr>
      <w:r>
        <w:rPr>
          <w:rFonts w:ascii="Arial" w:hAnsi="Arial" w:cs="Arial"/>
          <w:b/>
          <w:iCs/>
          <w:sz w:val="24"/>
          <w:szCs w:val="24"/>
        </w:rPr>
        <w:t>Требования о внесении задатка, срок и реквизиты счета</w:t>
      </w:r>
      <w:r>
        <w:rPr>
          <w:rFonts w:ascii="Arial" w:hAnsi="Arial" w:cs="Arial"/>
          <w:b/>
          <w:sz w:val="24"/>
          <w:szCs w:val="24"/>
        </w:rPr>
        <w:t>:</w:t>
      </w:r>
    </w:p>
    <w:p w:rsidR="00CE2ADA" w:rsidRDefault="00CE2ADA" w:rsidP="00CE2ADA">
      <w:pPr>
        <w:jc w:val="both"/>
        <w:rPr>
          <w:rFonts w:ascii="Arial" w:hAnsi="Arial" w:cs="Arial"/>
          <w:spacing w:val="-4"/>
          <w:sz w:val="24"/>
          <w:szCs w:val="24"/>
        </w:rPr>
      </w:pPr>
      <w:r>
        <w:rPr>
          <w:rFonts w:ascii="Arial" w:hAnsi="Arial" w:cs="Arial"/>
          <w:spacing w:val="-4"/>
          <w:sz w:val="24"/>
          <w:szCs w:val="24"/>
        </w:rPr>
        <w:t xml:space="preserve">В срок </w:t>
      </w:r>
      <w:r>
        <w:rPr>
          <w:rFonts w:ascii="Arial" w:hAnsi="Arial" w:cs="Arial"/>
          <w:b/>
          <w:spacing w:val="-4"/>
          <w:sz w:val="24"/>
          <w:szCs w:val="24"/>
          <w:u w:val="single"/>
        </w:rPr>
        <w:t xml:space="preserve">не позднее 24 августа 2021 года </w:t>
      </w:r>
      <w:r>
        <w:rPr>
          <w:rFonts w:ascii="Arial" w:hAnsi="Arial" w:cs="Arial"/>
          <w:spacing w:val="-4"/>
          <w:sz w:val="24"/>
          <w:szCs w:val="24"/>
          <w:u w:val="single"/>
        </w:rPr>
        <w:t>(включительно)</w:t>
      </w:r>
      <w:r>
        <w:rPr>
          <w:rFonts w:ascii="Arial" w:hAnsi="Arial" w:cs="Arial"/>
          <w:spacing w:val="-4"/>
          <w:sz w:val="24"/>
          <w:szCs w:val="24"/>
        </w:rPr>
        <w:t xml:space="preserve"> претенденты перечисляют задаток единым платежом в размере 20% начальной цены лота на расчетный счет Департамента имущественных отношений и земельных ресурсов администрации города Ишима, который должен поступить на указанный счет. </w:t>
      </w:r>
    </w:p>
    <w:p w:rsidR="00CE2ADA" w:rsidRDefault="00CE2ADA" w:rsidP="00CE2ADA">
      <w:pPr>
        <w:jc w:val="both"/>
        <w:rPr>
          <w:rFonts w:ascii="Arial" w:hAnsi="Arial" w:cs="Arial"/>
          <w:spacing w:val="-4"/>
          <w:sz w:val="24"/>
          <w:szCs w:val="24"/>
        </w:rPr>
      </w:pPr>
      <w:r>
        <w:rPr>
          <w:rFonts w:ascii="Arial" w:hAnsi="Arial" w:cs="Arial"/>
          <w:spacing w:val="-4"/>
          <w:sz w:val="24"/>
          <w:szCs w:val="24"/>
        </w:rPr>
        <w:t>Документом, подтверждающим поступление задатка на счет организатора торгов, является выписка со счета организатора торгов.</w:t>
      </w:r>
    </w:p>
    <w:p w:rsidR="00CE2ADA" w:rsidRDefault="00CE2ADA" w:rsidP="00CE2ADA">
      <w:pPr>
        <w:jc w:val="both"/>
        <w:rPr>
          <w:rFonts w:ascii="Arial" w:hAnsi="Arial" w:cs="Arial"/>
          <w:sz w:val="24"/>
          <w:szCs w:val="24"/>
          <w:u w:val="single"/>
        </w:rPr>
      </w:pPr>
      <w:r>
        <w:rPr>
          <w:rFonts w:ascii="Arial" w:hAnsi="Arial" w:cs="Arial"/>
          <w:sz w:val="24"/>
          <w:szCs w:val="24"/>
          <w:u w:val="single"/>
        </w:rPr>
        <w:t>Получатель (</w:t>
      </w:r>
      <w:r>
        <w:rPr>
          <w:rFonts w:ascii="Arial" w:hAnsi="Arial" w:cs="Arial"/>
          <w:b/>
          <w:sz w:val="24"/>
          <w:szCs w:val="24"/>
          <w:u w:val="single"/>
        </w:rPr>
        <w:t>для перечисления задатка</w:t>
      </w:r>
      <w:r>
        <w:rPr>
          <w:rFonts w:ascii="Arial" w:hAnsi="Arial" w:cs="Arial"/>
          <w:sz w:val="24"/>
          <w:szCs w:val="24"/>
          <w:u w:val="single"/>
        </w:rPr>
        <w:t xml:space="preserve">): </w:t>
      </w:r>
    </w:p>
    <w:p w:rsidR="00CE2ADA" w:rsidRDefault="00CE2ADA" w:rsidP="00CE2ADA">
      <w:pPr>
        <w:jc w:val="both"/>
        <w:rPr>
          <w:rFonts w:ascii="Arial" w:hAnsi="Arial" w:cs="Arial"/>
          <w:color w:val="333333"/>
          <w:sz w:val="26"/>
          <w:szCs w:val="26"/>
          <w:shd w:val="clear" w:color="auto" w:fill="FFFFFF"/>
        </w:rPr>
      </w:pPr>
      <w:r>
        <w:rPr>
          <w:rFonts w:ascii="Arial" w:hAnsi="Arial" w:cs="Arial"/>
          <w:spacing w:val="-4"/>
          <w:sz w:val="24"/>
          <w:szCs w:val="24"/>
        </w:rPr>
        <w:t xml:space="preserve">ИНН 7205021903, КПП 720501001 </w:t>
      </w:r>
      <w:r>
        <w:rPr>
          <w:rFonts w:ascii="Arial" w:hAnsi="Arial" w:cs="Arial"/>
          <w:sz w:val="24"/>
          <w:szCs w:val="24"/>
        </w:rPr>
        <w:t>Комитет финансов администрации г. Ишима (</w:t>
      </w:r>
      <w:proofErr w:type="spellStart"/>
      <w:r>
        <w:rPr>
          <w:rFonts w:ascii="Arial" w:hAnsi="Arial" w:cs="Arial"/>
          <w:sz w:val="26"/>
          <w:szCs w:val="26"/>
        </w:rPr>
        <w:t>ДИОиЗР</w:t>
      </w:r>
      <w:proofErr w:type="spellEnd"/>
      <w:r>
        <w:rPr>
          <w:rFonts w:ascii="Arial" w:hAnsi="Arial" w:cs="Arial"/>
          <w:sz w:val="26"/>
          <w:szCs w:val="26"/>
        </w:rPr>
        <w:t xml:space="preserve"> г. Ишима, л/с4120123ВСДИ), </w:t>
      </w:r>
      <w:proofErr w:type="spellStart"/>
      <w:r>
        <w:rPr>
          <w:rFonts w:ascii="Arial" w:hAnsi="Arial" w:cs="Arial"/>
          <w:color w:val="333333"/>
          <w:sz w:val="26"/>
          <w:szCs w:val="26"/>
          <w:shd w:val="clear" w:color="auto" w:fill="FFFFFF"/>
        </w:rPr>
        <w:t>кор</w:t>
      </w:r>
      <w:proofErr w:type="gramStart"/>
      <w:r>
        <w:rPr>
          <w:rFonts w:ascii="Arial" w:hAnsi="Arial" w:cs="Arial"/>
          <w:color w:val="333333"/>
          <w:sz w:val="26"/>
          <w:szCs w:val="26"/>
          <w:shd w:val="clear" w:color="auto" w:fill="FFFFFF"/>
        </w:rPr>
        <w:t>.с</w:t>
      </w:r>
      <w:proofErr w:type="gramEnd"/>
      <w:r>
        <w:rPr>
          <w:rFonts w:ascii="Arial" w:hAnsi="Arial" w:cs="Arial"/>
          <w:color w:val="333333"/>
          <w:sz w:val="26"/>
          <w:szCs w:val="26"/>
          <w:shd w:val="clear" w:color="auto" w:fill="FFFFFF"/>
        </w:rPr>
        <w:t>чет</w:t>
      </w:r>
      <w:proofErr w:type="spellEnd"/>
      <w:r>
        <w:rPr>
          <w:rFonts w:ascii="Arial" w:hAnsi="Arial" w:cs="Arial"/>
          <w:color w:val="333333"/>
          <w:sz w:val="26"/>
          <w:szCs w:val="26"/>
          <w:shd w:val="clear" w:color="auto" w:fill="FFFFFF"/>
        </w:rPr>
        <w:t>  03232643717050006700,</w:t>
      </w:r>
    </w:p>
    <w:p w:rsidR="00CE2ADA" w:rsidRDefault="00CE2ADA" w:rsidP="00CE2ADA">
      <w:pPr>
        <w:jc w:val="both"/>
      </w:pPr>
      <w:proofErr w:type="gramStart"/>
      <w:r>
        <w:rPr>
          <w:rFonts w:ascii="Arial" w:hAnsi="Arial" w:cs="Arial"/>
          <w:sz w:val="26"/>
          <w:szCs w:val="26"/>
        </w:rPr>
        <w:t>р</w:t>
      </w:r>
      <w:proofErr w:type="gramEnd"/>
      <w:r>
        <w:rPr>
          <w:rFonts w:ascii="Arial" w:hAnsi="Arial" w:cs="Arial"/>
          <w:sz w:val="26"/>
          <w:szCs w:val="26"/>
        </w:rPr>
        <w:t>/</w:t>
      </w:r>
      <w:proofErr w:type="spellStart"/>
      <w:r>
        <w:rPr>
          <w:rFonts w:ascii="Arial" w:hAnsi="Arial" w:cs="Arial"/>
          <w:sz w:val="26"/>
          <w:szCs w:val="26"/>
        </w:rPr>
        <w:t>сч</w:t>
      </w:r>
      <w:proofErr w:type="spellEnd"/>
      <w:r>
        <w:rPr>
          <w:rFonts w:ascii="Arial" w:hAnsi="Arial" w:cs="Arial"/>
          <w:sz w:val="26"/>
          <w:szCs w:val="26"/>
        </w:rPr>
        <w:t xml:space="preserve"> 40102810945370000060, Банк получателя: Банк ОТДЕЛЕНИЕ ТЮМЕНЬ БАНКА РОССИИ//УФК по Тюменской области г. Тюмень, БИК 017102101 ОКТМО 71705000.</w:t>
      </w:r>
    </w:p>
    <w:p w:rsidR="00CE2ADA" w:rsidRDefault="00CE2ADA" w:rsidP="00CE2ADA">
      <w:pPr>
        <w:jc w:val="both"/>
        <w:rPr>
          <w:rFonts w:ascii="Arial" w:hAnsi="Arial" w:cs="Arial"/>
          <w:sz w:val="24"/>
          <w:szCs w:val="24"/>
        </w:rPr>
      </w:pPr>
      <w:r>
        <w:rPr>
          <w:rFonts w:ascii="Arial" w:hAnsi="Arial" w:cs="Arial"/>
          <w:sz w:val="24"/>
          <w:szCs w:val="24"/>
        </w:rPr>
        <w:t xml:space="preserve">Назначение платежа – задаток для участия в Аукционе № </w:t>
      </w:r>
      <w:r>
        <w:rPr>
          <w:rFonts w:ascii="Arial" w:hAnsi="Arial" w:cs="Arial"/>
          <w:b/>
          <w:sz w:val="24"/>
          <w:szCs w:val="24"/>
        </w:rPr>
        <w:t>1-2021-Н</w:t>
      </w:r>
      <w:r>
        <w:rPr>
          <w:rFonts w:ascii="Arial" w:hAnsi="Arial" w:cs="Arial"/>
          <w:sz w:val="24"/>
          <w:szCs w:val="24"/>
        </w:rPr>
        <w:t xml:space="preserve"> по лоту </w:t>
      </w:r>
      <w:r>
        <w:rPr>
          <w:rFonts w:ascii="Arial" w:hAnsi="Arial" w:cs="Arial"/>
          <w:b/>
          <w:sz w:val="24"/>
          <w:szCs w:val="24"/>
        </w:rPr>
        <w:t>№1</w:t>
      </w:r>
      <w:r>
        <w:rPr>
          <w:rFonts w:ascii="Arial" w:hAnsi="Arial" w:cs="Arial"/>
          <w:sz w:val="24"/>
          <w:szCs w:val="24"/>
        </w:rPr>
        <w:t>.</w:t>
      </w:r>
    </w:p>
    <w:p w:rsidR="00CE2ADA" w:rsidRDefault="00CE2ADA" w:rsidP="00CE2ADA">
      <w:pPr>
        <w:pStyle w:val="ConsPlusNormal"/>
        <w:spacing w:before="220"/>
        <w:ind w:firstLine="0"/>
        <w:jc w:val="both"/>
        <w:rPr>
          <w:sz w:val="24"/>
          <w:szCs w:val="24"/>
        </w:rPr>
      </w:pPr>
      <w:r>
        <w:rPr>
          <w:sz w:val="24"/>
          <w:szCs w:val="24"/>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CE2ADA" w:rsidRDefault="00CE2ADA" w:rsidP="00CE2ADA">
      <w:pPr>
        <w:widowControl w:val="0"/>
        <w:overflowPunct/>
        <w:adjustRightInd/>
        <w:spacing w:before="220"/>
        <w:jc w:val="both"/>
        <w:rPr>
          <w:rFonts w:ascii="Arial" w:hAnsi="Arial" w:cs="Arial"/>
          <w:sz w:val="24"/>
          <w:szCs w:val="24"/>
        </w:rPr>
      </w:pPr>
      <w:r>
        <w:rPr>
          <w:rFonts w:ascii="Arial" w:hAnsi="Arial" w:cs="Arial"/>
          <w:sz w:val="24"/>
          <w:szCs w:val="24"/>
        </w:rPr>
        <w:t>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CE2ADA" w:rsidRDefault="00CE2ADA" w:rsidP="00CE2ADA">
      <w:pPr>
        <w:overflowPunct/>
        <w:jc w:val="both"/>
        <w:rPr>
          <w:rFonts w:ascii="Arial" w:hAnsi="Arial" w:cs="Arial"/>
          <w:sz w:val="24"/>
          <w:szCs w:val="24"/>
        </w:rPr>
      </w:pPr>
    </w:p>
    <w:p w:rsidR="00CE2ADA" w:rsidRDefault="00CE2ADA" w:rsidP="00CE2ADA">
      <w:pPr>
        <w:jc w:val="both"/>
        <w:rPr>
          <w:rFonts w:ascii="Arial" w:hAnsi="Arial" w:cs="Arial"/>
          <w:b/>
          <w:bCs/>
          <w:sz w:val="24"/>
          <w:szCs w:val="24"/>
        </w:rPr>
      </w:pPr>
      <w:r>
        <w:rPr>
          <w:rFonts w:ascii="Arial" w:hAnsi="Arial" w:cs="Arial"/>
          <w:b/>
          <w:bCs/>
          <w:sz w:val="24"/>
          <w:szCs w:val="24"/>
        </w:rPr>
        <w:t>Перечень представляемых претендентами документов и требования к их оформлению:</w:t>
      </w:r>
    </w:p>
    <w:p w:rsidR="00CE2ADA" w:rsidRDefault="00CE2ADA" w:rsidP="00CE2ADA">
      <w:pPr>
        <w:overflowPunct/>
        <w:ind w:firstLine="540"/>
        <w:jc w:val="both"/>
        <w:rPr>
          <w:rFonts w:ascii="Arial" w:hAnsi="Arial" w:cs="Arial"/>
          <w:sz w:val="24"/>
          <w:szCs w:val="24"/>
        </w:rPr>
      </w:pPr>
      <w:r>
        <w:rPr>
          <w:rFonts w:ascii="Arial" w:hAnsi="Arial" w:cs="Arial"/>
          <w:sz w:val="24"/>
          <w:szCs w:val="24"/>
        </w:rPr>
        <w:t>а) заявка на участие в аукционе по установленной в извещении о проведен</w:t>
      </w:r>
      <w:proofErr w:type="gramStart"/>
      <w:r>
        <w:rPr>
          <w:rFonts w:ascii="Arial" w:hAnsi="Arial" w:cs="Arial"/>
          <w:sz w:val="24"/>
          <w:szCs w:val="24"/>
        </w:rPr>
        <w:t>ии ау</w:t>
      </w:r>
      <w:proofErr w:type="gramEnd"/>
      <w:r>
        <w:rPr>
          <w:rFonts w:ascii="Arial" w:hAnsi="Arial" w:cs="Arial"/>
          <w:sz w:val="24"/>
          <w:szCs w:val="24"/>
        </w:rPr>
        <w:t>кциона форме</w:t>
      </w:r>
      <w:r>
        <w:rPr>
          <w:rFonts w:ascii="Arial" w:eastAsia="Calibri" w:hAnsi="Arial"/>
          <w:sz w:val="24"/>
          <w:szCs w:val="24"/>
          <w:lang w:eastAsia="en-US"/>
        </w:rPr>
        <w:t xml:space="preserve"> в 2 (двух) экземплярах с указанием </w:t>
      </w:r>
      <w:r>
        <w:rPr>
          <w:rFonts w:ascii="Arial" w:eastAsia="Calibri" w:hAnsi="Arial"/>
          <w:sz w:val="24"/>
          <w:szCs w:val="24"/>
          <w:u w:val="single"/>
          <w:lang w:eastAsia="en-US"/>
        </w:rPr>
        <w:t>реквизитов счета заявителя, от имени которого подана заявка для возврата задатка;</w:t>
      </w:r>
    </w:p>
    <w:p w:rsidR="00CE2ADA" w:rsidRDefault="00CE2ADA" w:rsidP="00CE2ADA">
      <w:pPr>
        <w:overflowPunct/>
        <w:ind w:firstLine="540"/>
        <w:jc w:val="both"/>
        <w:rPr>
          <w:rFonts w:ascii="Arial" w:hAnsi="Arial" w:cs="Arial"/>
          <w:sz w:val="24"/>
          <w:szCs w:val="24"/>
        </w:rPr>
      </w:pPr>
      <w:r>
        <w:rPr>
          <w:rFonts w:ascii="Arial" w:hAnsi="Arial" w:cs="Arial"/>
          <w:sz w:val="24"/>
          <w:szCs w:val="24"/>
        </w:rPr>
        <w:t>б) копии документов, удостоверяющих личность заявителя (для граждан);</w:t>
      </w:r>
    </w:p>
    <w:p w:rsidR="00CE2ADA" w:rsidRDefault="00CE2ADA" w:rsidP="00CE2ADA">
      <w:pPr>
        <w:overflowPunct/>
        <w:ind w:firstLine="540"/>
        <w:jc w:val="both"/>
        <w:rPr>
          <w:rFonts w:ascii="Arial" w:hAnsi="Arial" w:cs="Arial"/>
          <w:sz w:val="24"/>
          <w:szCs w:val="24"/>
        </w:rPr>
      </w:pPr>
      <w:r>
        <w:rPr>
          <w:rFonts w:ascii="Arial" w:hAnsi="Arial" w:cs="Arial"/>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E2ADA" w:rsidRDefault="00CE2ADA" w:rsidP="00CE2ADA">
      <w:pPr>
        <w:overflowPunct/>
        <w:ind w:firstLine="540"/>
        <w:jc w:val="both"/>
        <w:rPr>
          <w:rFonts w:ascii="Arial" w:hAnsi="Arial" w:cs="Arial"/>
          <w:sz w:val="24"/>
          <w:szCs w:val="24"/>
        </w:rPr>
      </w:pPr>
      <w:r>
        <w:rPr>
          <w:rFonts w:ascii="Arial" w:hAnsi="Arial" w:cs="Arial"/>
          <w:sz w:val="24"/>
          <w:szCs w:val="24"/>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w:t>
      </w:r>
      <w:r>
        <w:rPr>
          <w:rFonts w:ascii="Arial" w:hAnsi="Arial" w:cs="Arial"/>
          <w:sz w:val="24"/>
          <w:szCs w:val="24"/>
        </w:rPr>
        <w:lastRenderedPageBreak/>
        <w:t xml:space="preserve">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Pr>
          <w:rFonts w:ascii="Arial" w:hAnsi="Arial" w:cs="Arial"/>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Pr>
          <w:rFonts w:ascii="Arial" w:hAnsi="Arial" w:cs="Arial"/>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E2ADA" w:rsidRDefault="00CE2ADA" w:rsidP="00CE2ADA">
      <w:pPr>
        <w:overflowPunct/>
        <w:ind w:firstLine="540"/>
        <w:jc w:val="both"/>
        <w:rPr>
          <w:rFonts w:ascii="Arial" w:hAnsi="Arial" w:cs="Arial"/>
          <w:sz w:val="24"/>
          <w:szCs w:val="24"/>
        </w:rPr>
      </w:pPr>
      <w:r>
        <w:rPr>
          <w:rFonts w:ascii="Arial" w:hAnsi="Arial" w:cs="Arial"/>
          <w:sz w:val="24"/>
          <w:szCs w:val="24"/>
        </w:rPr>
        <w:t>д) документы, подтверждающие внесение задатка.</w:t>
      </w:r>
    </w:p>
    <w:p w:rsidR="00CE2ADA" w:rsidRDefault="00CE2ADA" w:rsidP="00CE2ADA">
      <w:pPr>
        <w:widowControl w:val="0"/>
        <w:overflowPunct/>
        <w:jc w:val="both"/>
        <w:rPr>
          <w:rFonts w:ascii="Arial" w:eastAsia="Calibri" w:hAnsi="Arial"/>
          <w:sz w:val="24"/>
          <w:szCs w:val="24"/>
          <w:lang w:eastAsia="en-US"/>
        </w:rPr>
      </w:pPr>
    </w:p>
    <w:p w:rsidR="00CE2ADA" w:rsidRDefault="00CE2ADA" w:rsidP="00CE2ADA">
      <w:pPr>
        <w:overflowPunct/>
        <w:jc w:val="both"/>
        <w:rPr>
          <w:rFonts w:ascii="Arial" w:hAnsi="Arial" w:cs="Arial"/>
          <w:sz w:val="24"/>
          <w:szCs w:val="24"/>
        </w:rPr>
      </w:pPr>
      <w:r>
        <w:rPr>
          <w:rFonts w:ascii="Arial" w:hAnsi="Arial" w:cs="Arial"/>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E2ADA" w:rsidRDefault="00CE2ADA" w:rsidP="00CE2ADA">
      <w:pPr>
        <w:overflowPunct/>
        <w:jc w:val="both"/>
        <w:rPr>
          <w:rFonts w:ascii="Arial" w:hAnsi="Arial" w:cs="Arial"/>
          <w:sz w:val="24"/>
          <w:szCs w:val="24"/>
        </w:rPr>
      </w:pPr>
    </w:p>
    <w:p w:rsidR="00CE2ADA" w:rsidRDefault="00CE2ADA" w:rsidP="00CE2ADA">
      <w:pPr>
        <w:overflowPunct/>
        <w:jc w:val="both"/>
        <w:rPr>
          <w:rFonts w:ascii="Arial" w:hAnsi="Arial" w:cs="Arial"/>
          <w:sz w:val="24"/>
          <w:szCs w:val="24"/>
        </w:rPr>
      </w:pPr>
      <w:r>
        <w:rPr>
          <w:rFonts w:ascii="Arial" w:hAnsi="Arial" w:cs="Arial"/>
          <w:sz w:val="24"/>
          <w:szCs w:val="24"/>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Pr>
          <w:rFonts w:ascii="Arial" w:hAnsi="Arial" w:cs="Arial"/>
          <w:sz w:val="24"/>
          <w:szCs w:val="24"/>
        </w:rPr>
        <w:t>с даты подписания</w:t>
      </w:r>
      <w:proofErr w:type="gramEnd"/>
      <w:r>
        <w:rPr>
          <w:rFonts w:ascii="Arial" w:hAnsi="Arial" w:cs="Arial"/>
          <w:sz w:val="24"/>
          <w:szCs w:val="24"/>
        </w:rPr>
        <w:t xml:space="preserve"> протокола о результатах аукциона.</w:t>
      </w:r>
    </w:p>
    <w:p w:rsidR="00CE2ADA" w:rsidRDefault="00CE2ADA" w:rsidP="00CE2ADA">
      <w:pPr>
        <w:overflowPunct/>
        <w:jc w:val="both"/>
        <w:rPr>
          <w:rFonts w:ascii="Arial" w:hAnsi="Arial" w:cs="Arial"/>
          <w:sz w:val="24"/>
          <w:szCs w:val="24"/>
        </w:rPr>
      </w:pPr>
    </w:p>
    <w:p w:rsidR="00CE2ADA" w:rsidRDefault="00CE2ADA" w:rsidP="00CE2ADA">
      <w:pPr>
        <w:overflowPunct/>
        <w:jc w:val="both"/>
        <w:rPr>
          <w:rFonts w:ascii="Arial" w:hAnsi="Arial" w:cs="Arial"/>
          <w:sz w:val="24"/>
          <w:szCs w:val="24"/>
        </w:rPr>
      </w:pPr>
      <w:r>
        <w:rPr>
          <w:rFonts w:ascii="Arial" w:hAnsi="Arial" w:cs="Arial"/>
          <w:sz w:val="24"/>
          <w:szCs w:val="24"/>
          <w:u w:val="single"/>
        </w:rPr>
        <w:t>Заявитель вправе отозвать заявку на участие в аукционе</w:t>
      </w:r>
      <w:r>
        <w:rPr>
          <w:rFonts w:ascii="Arial" w:hAnsi="Arial" w:cs="Arial"/>
          <w:sz w:val="24"/>
          <w:szCs w:val="24"/>
        </w:rPr>
        <w:t xml:space="preserve"> в любое время до установленных даты и времени начала рассмотрения заявок. Организатор аукциона обязан вернуть задаток указанному заявителю в течение 5 (пяти) рабочих дней </w:t>
      </w:r>
      <w:proofErr w:type="gramStart"/>
      <w:r>
        <w:rPr>
          <w:rFonts w:ascii="Arial" w:hAnsi="Arial" w:cs="Arial"/>
          <w:sz w:val="24"/>
          <w:szCs w:val="24"/>
        </w:rPr>
        <w:t>с даты получения</w:t>
      </w:r>
      <w:proofErr w:type="gramEnd"/>
      <w:r>
        <w:rPr>
          <w:rFonts w:ascii="Arial" w:hAnsi="Arial" w:cs="Arial"/>
          <w:sz w:val="24"/>
          <w:szCs w:val="24"/>
        </w:rPr>
        <w:t xml:space="preserve"> организатором аукциона уведомления об отзыве заявки на участие в аукционе.</w:t>
      </w:r>
    </w:p>
    <w:p w:rsidR="00CE2ADA" w:rsidRDefault="00CE2ADA" w:rsidP="00CE2ADA">
      <w:pPr>
        <w:overflowPunct/>
        <w:jc w:val="both"/>
        <w:rPr>
          <w:rFonts w:ascii="Arial" w:hAnsi="Arial" w:cs="Arial"/>
          <w:sz w:val="24"/>
          <w:szCs w:val="24"/>
        </w:rPr>
      </w:pPr>
    </w:p>
    <w:p w:rsidR="00CE2ADA" w:rsidRDefault="00CE2ADA" w:rsidP="00CE2ADA">
      <w:pPr>
        <w:pStyle w:val="western"/>
        <w:spacing w:before="0" w:beforeAutospacing="0"/>
        <w:rPr>
          <w:rFonts w:ascii="Arial" w:hAnsi="Arial" w:cs="Arial"/>
        </w:rPr>
      </w:pPr>
      <w:proofErr w:type="gramStart"/>
      <w:r>
        <w:rPr>
          <w:rFonts w:ascii="Arial" w:hAnsi="Arial" w:cs="Arial"/>
          <w:b/>
        </w:rPr>
        <w:t>Ограничения участия отдельных категорий физических и юридических лиц в аукционе</w:t>
      </w:r>
      <w:r>
        <w:rPr>
          <w:rFonts w:ascii="Arial" w:hAnsi="Arial" w:cs="Arial"/>
        </w:rPr>
        <w:t xml:space="preserve"> –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CE2ADA" w:rsidRDefault="00CE2ADA" w:rsidP="00CE2ADA">
      <w:pPr>
        <w:pStyle w:val="western"/>
        <w:spacing w:before="0" w:beforeAutospacing="0"/>
        <w:rPr>
          <w:rFonts w:ascii="Arial" w:hAnsi="Arial" w:cs="Arial"/>
        </w:rPr>
      </w:pPr>
    </w:p>
    <w:p w:rsidR="00CE2ADA" w:rsidRDefault="00CE2ADA" w:rsidP="00CE2ADA">
      <w:pPr>
        <w:widowControl w:val="0"/>
        <w:overflowPunct/>
        <w:adjustRightInd/>
        <w:jc w:val="both"/>
        <w:rPr>
          <w:rFonts w:ascii="Arial" w:hAnsi="Arial" w:cs="Arial"/>
          <w:b/>
          <w:sz w:val="24"/>
          <w:szCs w:val="24"/>
        </w:rPr>
      </w:pPr>
      <w:r>
        <w:rPr>
          <w:rFonts w:ascii="Arial" w:hAnsi="Arial" w:cs="Arial"/>
          <w:b/>
          <w:sz w:val="24"/>
          <w:szCs w:val="24"/>
        </w:rPr>
        <w:t>Заявитель не допускается к участию в аукционе в следующих случаях:</w:t>
      </w:r>
    </w:p>
    <w:p w:rsidR="00CE2ADA" w:rsidRDefault="00CE2ADA" w:rsidP="00CE2ADA">
      <w:pPr>
        <w:widowControl w:val="0"/>
        <w:overflowPunct/>
        <w:adjustRightInd/>
        <w:jc w:val="both"/>
        <w:rPr>
          <w:rFonts w:ascii="Arial" w:hAnsi="Arial" w:cs="Arial"/>
          <w:sz w:val="24"/>
          <w:szCs w:val="24"/>
        </w:rPr>
      </w:pPr>
      <w:r>
        <w:rPr>
          <w:rFonts w:ascii="Arial" w:hAnsi="Arial" w:cs="Arial"/>
          <w:sz w:val="24"/>
          <w:szCs w:val="24"/>
        </w:rPr>
        <w:t>а) непредставление необходимых для участия в аукционе документов или представление недостоверных сведений;</w:t>
      </w:r>
    </w:p>
    <w:p w:rsidR="00CE2ADA" w:rsidRDefault="00CE2ADA" w:rsidP="00CE2ADA">
      <w:pPr>
        <w:widowControl w:val="0"/>
        <w:overflowPunct/>
        <w:adjustRightInd/>
        <w:jc w:val="both"/>
        <w:rPr>
          <w:rFonts w:ascii="Arial" w:hAnsi="Arial" w:cs="Arial"/>
          <w:sz w:val="24"/>
          <w:szCs w:val="24"/>
        </w:rPr>
      </w:pPr>
      <w:r>
        <w:rPr>
          <w:rFonts w:ascii="Arial" w:hAnsi="Arial" w:cs="Arial"/>
          <w:sz w:val="24"/>
          <w:szCs w:val="24"/>
        </w:rPr>
        <w:t xml:space="preserve">б) </w:t>
      </w:r>
      <w:proofErr w:type="spellStart"/>
      <w:r>
        <w:rPr>
          <w:rFonts w:ascii="Arial" w:hAnsi="Arial" w:cs="Arial"/>
          <w:sz w:val="24"/>
          <w:szCs w:val="24"/>
        </w:rPr>
        <w:t>непоступление</w:t>
      </w:r>
      <w:proofErr w:type="spellEnd"/>
      <w:r>
        <w:rPr>
          <w:rFonts w:ascii="Arial" w:hAnsi="Arial" w:cs="Arial"/>
          <w:sz w:val="24"/>
          <w:szCs w:val="24"/>
        </w:rPr>
        <w:t xml:space="preserve"> задатка на дату рассмотрения заявок на участие в аукционе;</w:t>
      </w:r>
    </w:p>
    <w:p w:rsidR="00CE2ADA" w:rsidRDefault="00CE2ADA" w:rsidP="00CE2ADA">
      <w:pPr>
        <w:widowControl w:val="0"/>
        <w:overflowPunct/>
        <w:adjustRightInd/>
        <w:jc w:val="both"/>
        <w:rPr>
          <w:rFonts w:ascii="Arial" w:hAnsi="Arial" w:cs="Arial"/>
          <w:sz w:val="24"/>
          <w:szCs w:val="24"/>
        </w:rPr>
      </w:pPr>
      <w:r>
        <w:rPr>
          <w:rFonts w:ascii="Arial" w:hAnsi="Arial" w:cs="Arial"/>
          <w:sz w:val="24"/>
          <w:szCs w:val="24"/>
        </w:rPr>
        <w:t>в) подача заявки лицом, не уполномоченным на осуществление таких действий.</w:t>
      </w:r>
    </w:p>
    <w:p w:rsidR="00CE2ADA" w:rsidRDefault="00CE2ADA" w:rsidP="00CE2ADA">
      <w:pPr>
        <w:widowControl w:val="0"/>
        <w:overflowPunct/>
        <w:adjustRightInd/>
        <w:jc w:val="both"/>
        <w:rPr>
          <w:rFonts w:ascii="Arial" w:hAnsi="Arial" w:cs="Arial"/>
          <w:sz w:val="24"/>
          <w:szCs w:val="24"/>
        </w:rPr>
      </w:pPr>
    </w:p>
    <w:p w:rsidR="00CE2ADA" w:rsidRDefault="00CE2ADA" w:rsidP="00CE2ADA">
      <w:pPr>
        <w:overflowPunct/>
        <w:jc w:val="both"/>
        <w:rPr>
          <w:rFonts w:ascii="Arial" w:hAnsi="Arial" w:cs="Arial"/>
          <w:sz w:val="24"/>
          <w:szCs w:val="24"/>
        </w:rPr>
      </w:pPr>
      <w:r>
        <w:rPr>
          <w:rFonts w:ascii="Arial" w:hAnsi="Arial" w:cs="Arial"/>
          <w:sz w:val="24"/>
          <w:szCs w:val="24"/>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Pr>
          <w:rFonts w:ascii="Arial" w:hAnsi="Arial" w:cs="Arial"/>
          <w:sz w:val="24"/>
          <w:szCs w:val="24"/>
        </w:rPr>
        <w:t>аукциона</w:t>
      </w:r>
      <w:proofErr w:type="gramEnd"/>
      <w:r>
        <w:rPr>
          <w:rFonts w:ascii="Arial" w:hAnsi="Arial" w:cs="Arial"/>
          <w:sz w:val="24"/>
          <w:szCs w:val="24"/>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CE2ADA" w:rsidRDefault="00CE2ADA" w:rsidP="00CE2ADA">
      <w:pPr>
        <w:overflowPunct/>
        <w:jc w:val="both"/>
        <w:rPr>
          <w:rFonts w:ascii="Arial" w:hAnsi="Arial" w:cs="Arial"/>
          <w:sz w:val="24"/>
          <w:szCs w:val="24"/>
        </w:rPr>
      </w:pPr>
    </w:p>
    <w:p w:rsidR="00CE2ADA" w:rsidRDefault="00CE2ADA" w:rsidP="00CE2ADA">
      <w:pPr>
        <w:jc w:val="both"/>
        <w:rPr>
          <w:rFonts w:ascii="Arial" w:hAnsi="Arial" w:cs="Arial"/>
          <w:b/>
          <w:bCs/>
          <w:sz w:val="24"/>
          <w:szCs w:val="24"/>
        </w:rPr>
      </w:pPr>
      <w:r>
        <w:rPr>
          <w:rFonts w:ascii="Arial" w:hAnsi="Arial" w:cs="Arial"/>
          <w:b/>
          <w:sz w:val="24"/>
          <w:szCs w:val="24"/>
        </w:rPr>
        <w:t>Место и срок подведения итогов торгов, порядок определения победителей:</w:t>
      </w:r>
    </w:p>
    <w:p w:rsidR="00CE2ADA" w:rsidRDefault="00CE2ADA" w:rsidP="00CE2ADA">
      <w:pPr>
        <w:jc w:val="both"/>
        <w:rPr>
          <w:rFonts w:ascii="Arial" w:hAnsi="Arial" w:cs="Arial"/>
          <w:sz w:val="24"/>
          <w:szCs w:val="24"/>
        </w:rPr>
      </w:pPr>
      <w:r>
        <w:rPr>
          <w:rFonts w:ascii="Arial" w:hAnsi="Arial" w:cs="Arial"/>
          <w:sz w:val="24"/>
          <w:szCs w:val="24"/>
        </w:rPr>
        <w:t>Место подведения итогов торгов: Тюменская обл., г. Ишим, ул. Гагарина,67, Малый зал Администрации, 1 этаж, каб.120.</w:t>
      </w:r>
    </w:p>
    <w:p w:rsidR="00CE2ADA" w:rsidRDefault="00CE2ADA" w:rsidP="00CE2ADA">
      <w:pPr>
        <w:jc w:val="both"/>
        <w:rPr>
          <w:rFonts w:ascii="Arial" w:hAnsi="Arial" w:cs="Arial"/>
          <w:b/>
          <w:sz w:val="24"/>
          <w:szCs w:val="24"/>
        </w:rPr>
      </w:pPr>
    </w:p>
    <w:p w:rsidR="00CE2ADA" w:rsidRDefault="00CE2ADA" w:rsidP="00CE2ADA">
      <w:pPr>
        <w:jc w:val="both"/>
        <w:rPr>
          <w:rFonts w:ascii="Arial" w:hAnsi="Arial" w:cs="Arial"/>
          <w:sz w:val="24"/>
          <w:szCs w:val="24"/>
          <w:u w:val="single"/>
        </w:rPr>
      </w:pPr>
      <w:r>
        <w:rPr>
          <w:rFonts w:ascii="Arial" w:hAnsi="Arial" w:cs="Arial"/>
          <w:b/>
          <w:sz w:val="24"/>
          <w:szCs w:val="24"/>
        </w:rPr>
        <w:t xml:space="preserve">Срок подведения итогов аукциона: </w:t>
      </w:r>
      <w:r>
        <w:rPr>
          <w:rFonts w:ascii="Arial" w:hAnsi="Arial" w:cs="Arial"/>
          <w:b/>
          <w:sz w:val="24"/>
          <w:szCs w:val="24"/>
          <w:u w:val="single"/>
        </w:rPr>
        <w:t>27 августа 2021 года</w:t>
      </w:r>
      <w:r>
        <w:rPr>
          <w:rFonts w:ascii="Arial" w:hAnsi="Arial" w:cs="Arial"/>
          <w:sz w:val="24"/>
          <w:szCs w:val="24"/>
          <w:u w:val="single"/>
        </w:rPr>
        <w:t>.</w:t>
      </w:r>
    </w:p>
    <w:p w:rsidR="00CE2ADA" w:rsidRDefault="00CE2ADA" w:rsidP="00CE2ADA">
      <w:pPr>
        <w:jc w:val="both"/>
        <w:rPr>
          <w:rFonts w:ascii="Arial" w:hAnsi="Arial" w:cs="Arial"/>
          <w:sz w:val="24"/>
          <w:szCs w:val="24"/>
          <w:u w:val="single"/>
        </w:rPr>
      </w:pPr>
    </w:p>
    <w:p w:rsidR="00CE2ADA" w:rsidRDefault="00CE2ADA" w:rsidP="00CE2ADA">
      <w:pPr>
        <w:jc w:val="both"/>
        <w:rPr>
          <w:rFonts w:ascii="Arial" w:hAnsi="Arial" w:cs="Arial"/>
          <w:spacing w:val="-6"/>
          <w:sz w:val="24"/>
          <w:szCs w:val="24"/>
        </w:rPr>
      </w:pPr>
      <w:r>
        <w:rPr>
          <w:rFonts w:ascii="Arial" w:hAnsi="Arial" w:cs="Arial"/>
          <w:b/>
          <w:spacing w:val="-10"/>
          <w:sz w:val="24"/>
          <w:szCs w:val="24"/>
        </w:rPr>
        <w:t>Порядок определения победителей:</w:t>
      </w:r>
      <w:r>
        <w:rPr>
          <w:rFonts w:ascii="Arial" w:hAnsi="Arial" w:cs="Arial"/>
          <w:spacing w:val="-10"/>
          <w:sz w:val="24"/>
          <w:szCs w:val="24"/>
        </w:rPr>
        <w:t xml:space="preserve"> </w:t>
      </w:r>
      <w:r>
        <w:rPr>
          <w:rFonts w:ascii="Arial" w:hAnsi="Arial" w:cs="Arial"/>
          <w:spacing w:val="-6"/>
          <w:sz w:val="24"/>
          <w:szCs w:val="24"/>
        </w:rPr>
        <w:t xml:space="preserve">Протокол о результатах аукциона является основанием для заключения с победителем </w:t>
      </w:r>
      <w:proofErr w:type="gramStart"/>
      <w:r>
        <w:rPr>
          <w:rFonts w:ascii="Arial" w:hAnsi="Arial" w:cs="Arial"/>
          <w:spacing w:val="-6"/>
          <w:sz w:val="24"/>
          <w:szCs w:val="24"/>
        </w:rPr>
        <w:t>аукциона договора купли-продажи объекта незавершенного строительства</w:t>
      </w:r>
      <w:proofErr w:type="gramEnd"/>
      <w:r>
        <w:rPr>
          <w:rFonts w:ascii="Arial" w:hAnsi="Arial" w:cs="Arial"/>
          <w:spacing w:val="-6"/>
          <w:sz w:val="24"/>
          <w:szCs w:val="24"/>
        </w:rPr>
        <w:t xml:space="preserve">. </w:t>
      </w:r>
    </w:p>
    <w:p w:rsidR="00CE2ADA" w:rsidRDefault="00CE2ADA" w:rsidP="00CE2ADA">
      <w:pPr>
        <w:jc w:val="both"/>
        <w:rPr>
          <w:rFonts w:ascii="Arial" w:hAnsi="Arial" w:cs="Arial"/>
          <w:spacing w:val="-6"/>
          <w:sz w:val="24"/>
          <w:szCs w:val="24"/>
        </w:rPr>
      </w:pPr>
    </w:p>
    <w:p w:rsidR="00CE2ADA" w:rsidRDefault="00CE2ADA" w:rsidP="00CE2ADA">
      <w:pPr>
        <w:jc w:val="both"/>
        <w:rPr>
          <w:rFonts w:ascii="Arial" w:hAnsi="Arial" w:cs="Arial"/>
          <w:b/>
          <w:bCs/>
          <w:sz w:val="24"/>
          <w:szCs w:val="24"/>
        </w:rPr>
      </w:pPr>
      <w:r>
        <w:rPr>
          <w:rFonts w:ascii="Arial" w:hAnsi="Arial" w:cs="Arial"/>
          <w:b/>
          <w:bCs/>
          <w:sz w:val="24"/>
          <w:szCs w:val="24"/>
        </w:rPr>
        <w:t xml:space="preserve">Порядок </w:t>
      </w:r>
      <w:proofErr w:type="gramStart"/>
      <w:r>
        <w:rPr>
          <w:rFonts w:ascii="Arial" w:hAnsi="Arial" w:cs="Arial"/>
          <w:b/>
          <w:bCs/>
          <w:sz w:val="24"/>
          <w:szCs w:val="24"/>
        </w:rPr>
        <w:t xml:space="preserve">заключения договора купли-продажи </w:t>
      </w:r>
      <w:r>
        <w:rPr>
          <w:rFonts w:ascii="Arial" w:hAnsi="Arial" w:cs="Arial"/>
          <w:b/>
          <w:sz w:val="24"/>
          <w:szCs w:val="24"/>
        </w:rPr>
        <w:t>объекта незавершенного строительства</w:t>
      </w:r>
      <w:proofErr w:type="gramEnd"/>
      <w:r>
        <w:rPr>
          <w:rFonts w:ascii="Arial" w:hAnsi="Arial" w:cs="Arial"/>
          <w:b/>
          <w:bCs/>
          <w:sz w:val="24"/>
          <w:szCs w:val="24"/>
        </w:rPr>
        <w:t>:</w:t>
      </w:r>
    </w:p>
    <w:p w:rsidR="00CE2ADA" w:rsidRDefault="00CE2ADA" w:rsidP="00CE2ADA">
      <w:pPr>
        <w:overflowPunct/>
        <w:jc w:val="both"/>
        <w:rPr>
          <w:rFonts w:ascii="Arial" w:hAnsi="Arial" w:cs="Arial"/>
          <w:sz w:val="24"/>
          <w:szCs w:val="24"/>
        </w:rPr>
      </w:pPr>
      <w:r>
        <w:rPr>
          <w:rFonts w:ascii="Arial" w:hAnsi="Arial" w:cs="Arial"/>
          <w:sz w:val="24"/>
          <w:szCs w:val="24"/>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CE2ADA" w:rsidRDefault="00CE2ADA" w:rsidP="00CE2ADA">
      <w:pPr>
        <w:overflowPunct/>
        <w:ind w:firstLine="540"/>
        <w:jc w:val="both"/>
        <w:rPr>
          <w:rFonts w:ascii="Arial" w:hAnsi="Arial" w:cs="Arial"/>
          <w:sz w:val="24"/>
          <w:szCs w:val="24"/>
        </w:rPr>
      </w:pPr>
      <w:r>
        <w:rPr>
          <w:rFonts w:ascii="Arial" w:hAnsi="Arial" w:cs="Arial"/>
          <w:sz w:val="24"/>
          <w:szCs w:val="24"/>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CE2ADA" w:rsidRDefault="00CE2ADA" w:rsidP="00CE2ADA">
      <w:pPr>
        <w:overflowPunct/>
        <w:ind w:firstLine="540"/>
        <w:jc w:val="both"/>
        <w:rPr>
          <w:rFonts w:ascii="Arial" w:hAnsi="Arial" w:cs="Arial"/>
          <w:sz w:val="24"/>
          <w:szCs w:val="24"/>
        </w:rPr>
      </w:pPr>
    </w:p>
    <w:p w:rsidR="00CE2ADA" w:rsidRDefault="00CE2ADA" w:rsidP="00CE2ADA">
      <w:pPr>
        <w:jc w:val="both"/>
        <w:rPr>
          <w:rFonts w:ascii="Arial" w:hAnsi="Arial" w:cs="Arial"/>
          <w:b/>
          <w:sz w:val="24"/>
          <w:szCs w:val="24"/>
        </w:rPr>
      </w:pPr>
      <w:r>
        <w:rPr>
          <w:rFonts w:ascii="Arial" w:hAnsi="Arial" w:cs="Arial"/>
          <w:b/>
          <w:sz w:val="24"/>
          <w:szCs w:val="24"/>
        </w:rPr>
        <w:t>Условия и сроки платежа по договору:</w:t>
      </w:r>
    </w:p>
    <w:p w:rsidR="00CE2ADA" w:rsidRDefault="00CE2ADA" w:rsidP="00CE2ADA">
      <w:pPr>
        <w:jc w:val="both"/>
        <w:rPr>
          <w:rFonts w:ascii="Arial" w:hAnsi="Arial" w:cs="Arial"/>
          <w:b/>
          <w:sz w:val="24"/>
          <w:szCs w:val="24"/>
        </w:rPr>
      </w:pPr>
      <w:r>
        <w:rPr>
          <w:rFonts w:ascii="Arial" w:hAnsi="Arial" w:cs="Arial"/>
          <w:sz w:val="24"/>
          <w:szCs w:val="24"/>
        </w:rPr>
        <w:t xml:space="preserve">Оплата приобретаемого на аукционе объекта незавершенного строительства производится в порядке, размере и сроки, определенные в договоре купли-продажи объекта незавершенного строительства. </w:t>
      </w:r>
    </w:p>
    <w:p w:rsidR="00CE2ADA" w:rsidRDefault="00CE2ADA" w:rsidP="00CE2ADA">
      <w:pPr>
        <w:overflowPunct/>
        <w:jc w:val="both"/>
        <w:rPr>
          <w:rFonts w:ascii="Arial" w:hAnsi="Arial" w:cs="Arial"/>
          <w:b/>
          <w:sz w:val="24"/>
          <w:szCs w:val="24"/>
        </w:rPr>
      </w:pPr>
    </w:p>
    <w:p w:rsidR="00CE2ADA" w:rsidRDefault="00CE2ADA" w:rsidP="00CE2ADA">
      <w:pPr>
        <w:overflowPunct/>
        <w:jc w:val="both"/>
        <w:rPr>
          <w:rFonts w:ascii="Arial" w:hAnsi="Arial" w:cs="Arial"/>
          <w:b/>
          <w:sz w:val="24"/>
          <w:szCs w:val="24"/>
        </w:rPr>
      </w:pPr>
      <w:r>
        <w:rPr>
          <w:rFonts w:ascii="Arial" w:hAnsi="Arial" w:cs="Arial"/>
          <w:b/>
          <w:sz w:val="24"/>
          <w:szCs w:val="24"/>
        </w:rPr>
        <w:t>Дата, время и порядок осмотра объекта незавершенного строительства на местности:</w:t>
      </w:r>
    </w:p>
    <w:p w:rsidR="00CE2ADA" w:rsidRDefault="00CE2ADA" w:rsidP="00CE2ADA">
      <w:pPr>
        <w:overflowPunct/>
        <w:jc w:val="both"/>
        <w:rPr>
          <w:rFonts w:ascii="Arial" w:hAnsi="Arial" w:cs="Arial"/>
          <w:sz w:val="24"/>
          <w:szCs w:val="24"/>
        </w:rPr>
      </w:pPr>
      <w:r>
        <w:rPr>
          <w:rFonts w:ascii="Arial" w:hAnsi="Arial" w:cs="Arial"/>
          <w:sz w:val="24"/>
          <w:szCs w:val="24"/>
        </w:rPr>
        <w:t>По вопросам осмотра необходимо обращаться в Департамент имущественных отношений и земельных ресурсов администрации города Ишима. Даты и время осмотра по согласованию со специалистом Департамента по тел.8 (34551) 7-40-32.</w:t>
      </w:r>
    </w:p>
    <w:p w:rsidR="00CE2ADA" w:rsidRDefault="00CE2ADA" w:rsidP="00CE2ADA">
      <w:pPr>
        <w:overflowPunct/>
        <w:jc w:val="both"/>
        <w:rPr>
          <w:rFonts w:ascii="Arial" w:hAnsi="Arial" w:cs="Arial"/>
          <w:b/>
          <w:sz w:val="24"/>
          <w:szCs w:val="24"/>
        </w:rPr>
      </w:pPr>
    </w:p>
    <w:p w:rsidR="00CE2ADA" w:rsidRDefault="00CE2ADA" w:rsidP="00CE2ADA">
      <w:pPr>
        <w:overflowPunct/>
        <w:jc w:val="both"/>
        <w:rPr>
          <w:rFonts w:ascii="Arial" w:hAnsi="Arial" w:cs="Arial"/>
          <w:b/>
          <w:sz w:val="24"/>
          <w:szCs w:val="24"/>
        </w:rPr>
      </w:pPr>
      <w:r>
        <w:rPr>
          <w:rFonts w:ascii="Arial" w:hAnsi="Arial" w:cs="Arial"/>
          <w:b/>
          <w:sz w:val="24"/>
          <w:szCs w:val="24"/>
        </w:rPr>
        <w:t>Порядок ознакомления претендентов с иной информацией:</w:t>
      </w:r>
    </w:p>
    <w:p w:rsidR="00CE2ADA" w:rsidRDefault="00CE2ADA" w:rsidP="00CE2ADA">
      <w:pPr>
        <w:overflowPunct/>
        <w:autoSpaceDE/>
        <w:adjustRightInd/>
        <w:jc w:val="both"/>
        <w:rPr>
          <w:rFonts w:ascii="Arial" w:hAnsi="Arial" w:cs="Arial"/>
          <w:sz w:val="24"/>
          <w:szCs w:val="24"/>
        </w:rPr>
      </w:pPr>
      <w:r>
        <w:rPr>
          <w:rFonts w:ascii="Arial" w:hAnsi="Arial" w:cs="Arial"/>
          <w:sz w:val="24"/>
          <w:szCs w:val="24"/>
        </w:rPr>
        <w:t xml:space="preserve">Документация об аукционе по продаже объекта незавершенного строительства предоставляется бесплатно. </w:t>
      </w:r>
    </w:p>
    <w:p w:rsidR="00CE2ADA" w:rsidRDefault="00CE2ADA" w:rsidP="00CE2ADA">
      <w:pPr>
        <w:jc w:val="both"/>
        <w:rPr>
          <w:rFonts w:ascii="Arial" w:hAnsi="Arial" w:cs="Arial"/>
          <w:sz w:val="24"/>
          <w:szCs w:val="24"/>
        </w:rPr>
      </w:pPr>
      <w:proofErr w:type="gramStart"/>
      <w:r>
        <w:rPr>
          <w:rFonts w:ascii="Arial" w:hAnsi="Arial" w:cs="Arial"/>
          <w:color w:val="000000"/>
          <w:sz w:val="24"/>
          <w:szCs w:val="24"/>
        </w:rPr>
        <w:t>С иными сведениями о предмете аукциона, порядке проведения аукциона, а также условиями договора купли-продажи можно ознакомиться</w:t>
      </w:r>
      <w:r>
        <w:rPr>
          <w:rFonts w:ascii="Arial" w:hAnsi="Arial" w:cs="Arial"/>
          <w:sz w:val="24"/>
          <w:szCs w:val="24"/>
        </w:rPr>
        <w:t xml:space="preserve"> в Департаменте имущественных отношений и земельных ресурсов администрации города Ишима в рабочие дни с понедельника по четверг с 09.00 до 12.30 и с 13.30 до 18.00 часов, в пятницу с 09.00 до 12.30 и с 13.30 до 16.00 часов местного времени, по адресу:</w:t>
      </w:r>
      <w:proofErr w:type="gramEnd"/>
      <w:r>
        <w:rPr>
          <w:rFonts w:ascii="Arial" w:hAnsi="Arial" w:cs="Arial"/>
          <w:sz w:val="24"/>
          <w:szCs w:val="24"/>
        </w:rPr>
        <w:t xml:space="preserve"> Тюменская обл., г. Ишим, ул</w:t>
      </w:r>
      <w:proofErr w:type="gramStart"/>
      <w:r>
        <w:rPr>
          <w:rFonts w:ascii="Arial" w:hAnsi="Arial" w:cs="Arial"/>
          <w:sz w:val="24"/>
          <w:szCs w:val="24"/>
        </w:rPr>
        <w:t>.Г</w:t>
      </w:r>
      <w:proofErr w:type="gramEnd"/>
      <w:r>
        <w:rPr>
          <w:rFonts w:ascii="Arial" w:hAnsi="Arial" w:cs="Arial"/>
          <w:sz w:val="24"/>
          <w:szCs w:val="24"/>
        </w:rPr>
        <w:t xml:space="preserve">агарина,67, 2 этаж, каб.218, тел. 8(34551) 5-15-64 и (или) на сайте </w:t>
      </w:r>
      <w:hyperlink r:id="rId8" w:history="1">
        <w:r>
          <w:rPr>
            <w:rStyle w:val="a3"/>
            <w:rFonts w:ascii="Arial" w:hAnsi="Arial" w:cs="Arial"/>
            <w:sz w:val="24"/>
            <w:szCs w:val="24"/>
            <w:lang w:val="en-US"/>
          </w:rPr>
          <w:t>www</w:t>
        </w:r>
        <w:r>
          <w:rPr>
            <w:rStyle w:val="a3"/>
            <w:rFonts w:ascii="Arial" w:hAnsi="Arial" w:cs="Arial"/>
            <w:sz w:val="24"/>
            <w:szCs w:val="24"/>
          </w:rPr>
          <w:t>.</w:t>
        </w:r>
        <w:r>
          <w:rPr>
            <w:rStyle w:val="a3"/>
            <w:rFonts w:ascii="Arial" w:hAnsi="Arial" w:cs="Arial"/>
            <w:sz w:val="24"/>
            <w:szCs w:val="24"/>
            <w:lang w:val="en-US"/>
          </w:rPr>
          <w:t>torgi</w:t>
        </w:r>
        <w:r>
          <w:rPr>
            <w:rStyle w:val="a3"/>
            <w:rFonts w:ascii="Arial" w:hAnsi="Arial" w:cs="Arial"/>
            <w:sz w:val="24"/>
            <w:szCs w:val="24"/>
          </w:rPr>
          <w:t>.</w:t>
        </w:r>
        <w:r>
          <w:rPr>
            <w:rStyle w:val="a3"/>
            <w:rFonts w:ascii="Arial" w:hAnsi="Arial" w:cs="Arial"/>
            <w:sz w:val="24"/>
            <w:szCs w:val="24"/>
            <w:lang w:val="en-US"/>
          </w:rPr>
          <w:t>gov</w:t>
        </w:r>
        <w:r>
          <w:rPr>
            <w:rStyle w:val="a3"/>
            <w:rFonts w:ascii="Arial" w:hAnsi="Arial" w:cs="Arial"/>
            <w:sz w:val="24"/>
            <w:szCs w:val="24"/>
          </w:rPr>
          <w:t>.</w:t>
        </w:r>
        <w:r>
          <w:rPr>
            <w:rStyle w:val="a3"/>
            <w:rFonts w:ascii="Arial" w:hAnsi="Arial" w:cs="Arial"/>
            <w:sz w:val="24"/>
            <w:szCs w:val="24"/>
            <w:lang w:val="en-US"/>
          </w:rPr>
          <w:t>ru</w:t>
        </w:r>
      </w:hyperlink>
      <w:r>
        <w:rPr>
          <w:rFonts w:ascii="Arial" w:hAnsi="Arial" w:cs="Arial"/>
          <w:sz w:val="24"/>
          <w:szCs w:val="24"/>
        </w:rPr>
        <w:t xml:space="preserve"> и на сайте </w:t>
      </w:r>
      <w:hyperlink r:id="rId9" w:history="1">
        <w:r>
          <w:rPr>
            <w:rStyle w:val="a3"/>
            <w:rFonts w:ascii="Arial" w:hAnsi="Arial" w:cs="Arial"/>
            <w:sz w:val="24"/>
            <w:szCs w:val="24"/>
            <w:lang w:val="en-US"/>
          </w:rPr>
          <w:t>www</w:t>
        </w:r>
        <w:r>
          <w:rPr>
            <w:rStyle w:val="a3"/>
            <w:rFonts w:ascii="Arial" w:hAnsi="Arial" w:cs="Arial"/>
            <w:sz w:val="24"/>
            <w:szCs w:val="24"/>
          </w:rPr>
          <w:t>.</w:t>
        </w:r>
        <w:r>
          <w:rPr>
            <w:rStyle w:val="a3"/>
            <w:rFonts w:ascii="Arial" w:hAnsi="Arial" w:cs="Arial"/>
            <w:sz w:val="24"/>
            <w:szCs w:val="24"/>
            <w:lang w:val="en-US"/>
          </w:rPr>
          <w:t>ishim</w:t>
        </w:r>
        <w:r>
          <w:rPr>
            <w:rStyle w:val="a3"/>
            <w:rFonts w:ascii="Arial" w:hAnsi="Arial" w:cs="Arial"/>
            <w:sz w:val="24"/>
            <w:szCs w:val="24"/>
          </w:rPr>
          <w:t>.</w:t>
        </w:r>
        <w:r>
          <w:rPr>
            <w:rStyle w:val="a3"/>
            <w:rFonts w:ascii="Arial" w:hAnsi="Arial" w:cs="Arial"/>
            <w:sz w:val="24"/>
            <w:szCs w:val="24"/>
            <w:lang w:val="en-US"/>
          </w:rPr>
          <w:t>admtyumen</w:t>
        </w:r>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sz w:val="24"/>
          <w:szCs w:val="24"/>
        </w:rPr>
        <w:t>.</w:t>
      </w:r>
    </w:p>
    <w:p w:rsidR="00CE2ADA" w:rsidRDefault="00CE2ADA" w:rsidP="00CE2ADA">
      <w:pPr>
        <w:jc w:val="both"/>
        <w:rPr>
          <w:rFonts w:ascii="Arial" w:hAnsi="Arial" w:cs="Arial"/>
          <w:sz w:val="24"/>
          <w:szCs w:val="24"/>
        </w:rPr>
      </w:pPr>
    </w:p>
    <w:p w:rsidR="00CE2ADA" w:rsidRDefault="00CE2ADA" w:rsidP="00CE2ADA">
      <w:pPr>
        <w:jc w:val="both"/>
        <w:rPr>
          <w:rFonts w:ascii="Arial" w:hAnsi="Arial" w:cs="Arial"/>
          <w:sz w:val="24"/>
          <w:szCs w:val="24"/>
        </w:rPr>
      </w:pPr>
    </w:p>
    <w:p w:rsidR="00CE2ADA" w:rsidRDefault="00CE2ADA" w:rsidP="00CE2ADA">
      <w:pPr>
        <w:jc w:val="both"/>
        <w:rPr>
          <w:rFonts w:ascii="Arial" w:hAnsi="Arial" w:cs="Arial"/>
          <w:sz w:val="24"/>
          <w:szCs w:val="24"/>
        </w:rPr>
      </w:pPr>
    </w:p>
    <w:p w:rsidR="00CE2ADA" w:rsidRDefault="00CE2ADA" w:rsidP="00CE2ADA">
      <w:pPr>
        <w:jc w:val="both"/>
        <w:rPr>
          <w:rFonts w:ascii="Arial" w:hAnsi="Arial" w:cs="Arial"/>
          <w:sz w:val="24"/>
          <w:szCs w:val="24"/>
        </w:rPr>
      </w:pPr>
      <w:r>
        <w:rPr>
          <w:rFonts w:ascii="Arial" w:hAnsi="Arial" w:cs="Arial"/>
          <w:sz w:val="24"/>
          <w:szCs w:val="24"/>
        </w:rPr>
        <w:t xml:space="preserve">Директор                                      </w:t>
      </w:r>
      <w:r>
        <w:rPr>
          <w:rFonts w:ascii="Arial" w:hAnsi="Arial" w:cs="Arial"/>
          <w:sz w:val="24"/>
          <w:szCs w:val="24"/>
        </w:rPr>
        <w:tab/>
        <w:t xml:space="preserve">                                                     С.В. Соколов</w:t>
      </w:r>
    </w:p>
    <w:p w:rsidR="00CE2ADA" w:rsidRDefault="00CE2ADA" w:rsidP="00CE2ADA">
      <w:pPr>
        <w:widowControl w:val="0"/>
        <w:tabs>
          <w:tab w:val="left" w:pos="3402"/>
        </w:tabs>
        <w:overflowPunct/>
        <w:ind w:left="6237"/>
        <w:jc w:val="both"/>
        <w:rPr>
          <w:rFonts w:ascii="Arial" w:hAnsi="Arial" w:cs="Arial"/>
          <w:spacing w:val="-2"/>
          <w:sz w:val="24"/>
          <w:szCs w:val="24"/>
        </w:rPr>
      </w:pPr>
    </w:p>
    <w:p w:rsidR="00CE2ADA" w:rsidRDefault="00CE2ADA" w:rsidP="00CE2ADA">
      <w:pPr>
        <w:widowControl w:val="0"/>
        <w:tabs>
          <w:tab w:val="left" w:pos="3402"/>
        </w:tabs>
        <w:overflowPunct/>
        <w:ind w:left="6237"/>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CE2ADA" w:rsidRDefault="00CE2ADA" w:rsidP="00CE2ADA">
      <w:pPr>
        <w:widowControl w:val="0"/>
        <w:tabs>
          <w:tab w:val="left" w:pos="3402"/>
        </w:tabs>
        <w:overflowPunct/>
        <w:jc w:val="both"/>
        <w:rPr>
          <w:rFonts w:ascii="Arial" w:hAnsi="Arial" w:cs="Arial"/>
          <w:spacing w:val="-2"/>
        </w:rPr>
      </w:pPr>
    </w:p>
    <w:p w:rsidR="00124EFB" w:rsidRDefault="00124EFB" w:rsidP="00124EFB">
      <w:pPr>
        <w:jc w:val="both"/>
        <w:rPr>
          <w:rFonts w:ascii="Arial" w:hAnsi="Arial" w:cs="Arial"/>
          <w:sz w:val="24"/>
          <w:szCs w:val="24"/>
        </w:rPr>
      </w:pPr>
    </w:p>
    <w:sectPr w:rsidR="0012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82"/>
    <w:rsid w:val="00124EFB"/>
    <w:rsid w:val="00316304"/>
    <w:rsid w:val="00CE2ADA"/>
    <w:rsid w:val="00D166FF"/>
    <w:rsid w:val="00EF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F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124EFB"/>
    <w:pPr>
      <w:ind w:right="-1" w:firstLine="1276"/>
      <w:jc w:val="both"/>
    </w:pPr>
    <w:rPr>
      <w:sz w:val="24"/>
    </w:rPr>
  </w:style>
  <w:style w:type="paragraph" w:customStyle="1" w:styleId="western">
    <w:name w:val="western"/>
    <w:basedOn w:val="a"/>
    <w:rsid w:val="00124EFB"/>
    <w:pPr>
      <w:overflowPunct/>
      <w:autoSpaceDE/>
      <w:autoSpaceDN/>
      <w:adjustRightInd/>
      <w:spacing w:before="100" w:beforeAutospacing="1"/>
      <w:jc w:val="both"/>
    </w:pPr>
    <w:rPr>
      <w:color w:val="000000"/>
      <w:sz w:val="24"/>
      <w:szCs w:val="24"/>
    </w:rPr>
  </w:style>
  <w:style w:type="character" w:styleId="a3">
    <w:name w:val="Hyperlink"/>
    <w:basedOn w:val="a0"/>
    <w:uiPriority w:val="99"/>
    <w:semiHidden/>
    <w:unhideWhenUsed/>
    <w:rsid w:val="00124EFB"/>
    <w:rPr>
      <w:color w:val="0000FF"/>
      <w:u w:val="single"/>
    </w:rPr>
  </w:style>
  <w:style w:type="paragraph" w:customStyle="1" w:styleId="22">
    <w:name w:val="Основной текст 22"/>
    <w:basedOn w:val="a"/>
    <w:rsid w:val="00CE2ADA"/>
    <w:pPr>
      <w:ind w:right="-1" w:firstLine="1276"/>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F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124EFB"/>
    <w:pPr>
      <w:ind w:right="-1" w:firstLine="1276"/>
      <w:jc w:val="both"/>
    </w:pPr>
    <w:rPr>
      <w:sz w:val="24"/>
    </w:rPr>
  </w:style>
  <w:style w:type="paragraph" w:customStyle="1" w:styleId="western">
    <w:name w:val="western"/>
    <w:basedOn w:val="a"/>
    <w:rsid w:val="00124EFB"/>
    <w:pPr>
      <w:overflowPunct/>
      <w:autoSpaceDE/>
      <w:autoSpaceDN/>
      <w:adjustRightInd/>
      <w:spacing w:before="100" w:beforeAutospacing="1"/>
      <w:jc w:val="both"/>
    </w:pPr>
    <w:rPr>
      <w:color w:val="000000"/>
      <w:sz w:val="24"/>
      <w:szCs w:val="24"/>
    </w:rPr>
  </w:style>
  <w:style w:type="character" w:styleId="a3">
    <w:name w:val="Hyperlink"/>
    <w:basedOn w:val="a0"/>
    <w:uiPriority w:val="99"/>
    <w:semiHidden/>
    <w:unhideWhenUsed/>
    <w:rsid w:val="00124EFB"/>
    <w:rPr>
      <w:color w:val="0000FF"/>
      <w:u w:val="single"/>
    </w:rPr>
  </w:style>
  <w:style w:type="paragraph" w:customStyle="1" w:styleId="22">
    <w:name w:val="Основной текст 22"/>
    <w:basedOn w:val="a"/>
    <w:rsid w:val="00CE2ADA"/>
    <w:pPr>
      <w:ind w:right="-1" w:firstLine="127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820">
      <w:bodyDiv w:val="1"/>
      <w:marLeft w:val="0"/>
      <w:marRight w:val="0"/>
      <w:marTop w:val="0"/>
      <w:marBottom w:val="0"/>
      <w:divBdr>
        <w:top w:val="none" w:sz="0" w:space="0" w:color="auto"/>
        <w:left w:val="none" w:sz="0" w:space="0" w:color="auto"/>
        <w:bottom w:val="none" w:sz="0" w:space="0" w:color="auto"/>
        <w:right w:val="none" w:sz="0" w:space="0" w:color="auto"/>
      </w:divBdr>
    </w:div>
    <w:div w:id="6281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ishim.admtyume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mailto:dioizr@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him.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2513</Words>
  <Characters>14329</Characters>
  <Application>Microsoft Office Word</Application>
  <DocSecurity>0</DocSecurity>
  <Lines>119</Lines>
  <Paragraphs>33</Paragraphs>
  <ScaleCrop>false</ScaleCrop>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Клишева Ольга Юрьевна</dc:creator>
  <cp:keywords/>
  <dc:description/>
  <cp:lastModifiedBy>Клишева Ольга Юрьевна</cp:lastModifiedBy>
  <cp:revision>5</cp:revision>
  <dcterms:created xsi:type="dcterms:W3CDTF">2021-07-20T03:56:00Z</dcterms:created>
  <dcterms:modified xsi:type="dcterms:W3CDTF">2021-07-20T09:45:00Z</dcterms:modified>
</cp:coreProperties>
</file>