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C77826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29.08.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374C53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266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DD9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Pr="00DC3DD9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  <w:p w:rsidR="00DC3DD9" w:rsidRPr="00976025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27.09.2018 № 210 «Об утверждении прогнозного </w:t>
            </w:r>
            <w:proofErr w:type="gramStart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2019 год» </w:t>
            </w:r>
            <w:r w:rsidR="008673C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от 29.11.2018 № 223</w:t>
            </w:r>
            <w:r w:rsidR="00F56FD2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31.01.2019 № 230</w:t>
            </w:r>
            <w:r w:rsidR="00DC3DD9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25.04.2019 № 241, от 30.05.2019 № 250</w:t>
            </w:r>
            <w:r w:rsidR="00CF419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, от 27.06.2019 </w:t>
            </w:r>
            <w:r w:rsidR="008673C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</w:t>
            </w:r>
            <w:r w:rsidR="00CF419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№ 260</w:t>
            </w:r>
            <w:r w:rsidR="00374C53" w:rsidRPr="00976025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74C53" w:rsidRPr="00DC3DD9" w:rsidRDefault="00374C53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56FD2" w:rsidRDefault="00F56FD2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DD9" w:rsidRDefault="00DC3DD9" w:rsidP="0097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CD3F84" w:rsidRPr="00CF4193" w:rsidRDefault="00F42D51" w:rsidP="00CF4193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09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.201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8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210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</w:t>
      </w:r>
      <w:r w:rsidR="00CB09A0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год»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7FA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>в ред. решени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й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Ишимской городской Думы</w:t>
      </w:r>
      <w:proofErr w:type="gramEnd"/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29.11.2018 № 223</w:t>
      </w:r>
      <w:r w:rsidR="00F56FD2">
        <w:rPr>
          <w:rFonts w:ascii="Arial" w:eastAsia="Times New Roman" w:hAnsi="Arial" w:cs="Arial"/>
          <w:bCs/>
          <w:sz w:val="26"/>
          <w:szCs w:val="26"/>
          <w:lang w:eastAsia="ru-RU"/>
        </w:rPr>
        <w:t>, от 31.01.2019 № 230</w:t>
      </w:r>
      <w:r w:rsidR="00DC3DD9">
        <w:rPr>
          <w:rFonts w:ascii="Arial" w:eastAsia="Times New Roman" w:hAnsi="Arial" w:cs="Arial"/>
          <w:bCs/>
          <w:sz w:val="26"/>
          <w:szCs w:val="26"/>
          <w:lang w:eastAsia="ru-RU"/>
        </w:rPr>
        <w:t>, от 25.04.2019 № 241, от 30.05.2019 № 250</w:t>
      </w:r>
      <w:r w:rsidR="00CF4193">
        <w:rPr>
          <w:rFonts w:ascii="Arial" w:eastAsia="Times New Roman" w:hAnsi="Arial" w:cs="Arial"/>
          <w:bCs/>
          <w:sz w:val="26"/>
          <w:szCs w:val="26"/>
          <w:lang w:eastAsia="ru-RU"/>
        </w:rPr>
        <w:t>, от 27.06.2019 № 260</w:t>
      </w:r>
      <w:r w:rsidR="000B1B6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CF4193" w:rsidRPr="00CF4193" w:rsidRDefault="00CF4193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пункте 8 приложения к решению слова «</w:t>
      </w:r>
      <w:r w:rsidR="008673C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осредством публичного предложения» заменить словами «</w:t>
      </w:r>
      <w:r w:rsidR="008673C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б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ез объявления цены»;</w:t>
      </w:r>
    </w:p>
    <w:p w:rsidR="00CF4193" w:rsidRDefault="00CF4193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в пунктах 13-15</w:t>
      </w:r>
      <w:r w:rsidR="00637FB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</w:t>
      </w:r>
      <w:r w:rsidR="008673C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слова «Аукцион» заменить словами «п</w:t>
      </w:r>
      <w:r w:rsidR="00637FB9" w:rsidRPr="00420BC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оср</w:t>
      </w:r>
      <w:r w:rsidR="00637FB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едством публичного предложения»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;</w:t>
      </w:r>
    </w:p>
    <w:p w:rsidR="00637FB9" w:rsidRDefault="00CF4193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пунктом 23 следующего соде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CF4193" w:rsidTr="00CF4193">
        <w:tc>
          <w:tcPr>
            <w:tcW w:w="675" w:type="dxa"/>
          </w:tcPr>
          <w:p w:rsidR="00CF4193" w:rsidRDefault="00B967F1" w:rsidP="00CF419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6" w:type="dxa"/>
          </w:tcPr>
          <w:p w:rsidR="00CF4193" w:rsidRDefault="00CF4193" w:rsidP="00CC6928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ЗАЗ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CHANCE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, легковой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, идентификационный номер 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VIN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Y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DTF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69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Y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B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0282331, категория</w:t>
            </w:r>
            <w:proofErr w:type="gramStart"/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, год изг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товления 2011, модель, № двигателя А15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SMS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6012531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, шасси (рама) отсутствует, к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у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зов № 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Y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DTF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69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Y</w:t>
            </w:r>
            <w:r w:rsidR="00CC6928" w:rsidRP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B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0282331, цвет кузова черный, мощность двигателя 85,7 </w:t>
            </w:r>
            <w:proofErr w:type="spellStart"/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л.с</w:t>
            </w:r>
            <w:proofErr w:type="spellEnd"/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., рабочий объем двигателя 1498 куб. см, тип двигателя бензин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вый, экологический класс третий, разреше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ная максимальная ма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="00CC6928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са 1595 кг, масса без нагрузки 1111 кг, ПТС 36ОУ899517 от 29.08.2011</w:t>
            </w:r>
          </w:p>
        </w:tc>
        <w:tc>
          <w:tcPr>
            <w:tcW w:w="1971" w:type="dxa"/>
          </w:tcPr>
          <w:p w:rsidR="00CF4193" w:rsidRDefault="00CC6928" w:rsidP="00CC6928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lastRenderedPageBreak/>
              <w:t>аукцион</w:t>
            </w:r>
          </w:p>
        </w:tc>
        <w:tc>
          <w:tcPr>
            <w:tcW w:w="1971" w:type="dxa"/>
          </w:tcPr>
          <w:p w:rsidR="00CF4193" w:rsidRPr="00CC6928" w:rsidRDefault="00CC6928" w:rsidP="00CC6928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1971" w:type="dxa"/>
          </w:tcPr>
          <w:p w:rsidR="00CF4193" w:rsidRDefault="00CC6928" w:rsidP="00CF4193">
            <w:pPr>
              <w:pStyle w:val="a5"/>
              <w:widowControl w:val="0"/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прилагается</w:t>
            </w:r>
          </w:p>
        </w:tc>
      </w:tr>
    </w:tbl>
    <w:p w:rsidR="00CF4193" w:rsidRPr="00CC6928" w:rsidRDefault="00CF4193" w:rsidP="00CC6928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2B232A" w:rsidRPr="00CC6928" w:rsidRDefault="001B7424" w:rsidP="00637FB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3B5003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3B5003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37FB9" w:rsidRPr="009529B3" w:rsidRDefault="00637FB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637FB9" w:rsidRPr="009529B3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4646DB"/>
    <w:multiLevelType w:val="hybridMultilevel"/>
    <w:tmpl w:val="D56085F6"/>
    <w:lvl w:ilvl="0" w:tplc="2AEE769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C68C9"/>
    <w:multiLevelType w:val="hybridMultilevel"/>
    <w:tmpl w:val="2C46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869F2"/>
    <w:rsid w:val="000874AC"/>
    <w:rsid w:val="000A1FD9"/>
    <w:rsid w:val="000A55B9"/>
    <w:rsid w:val="000B1B6B"/>
    <w:rsid w:val="000B5F29"/>
    <w:rsid w:val="000D1837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7BB7"/>
    <w:rsid w:val="001B19BF"/>
    <w:rsid w:val="001B2DE0"/>
    <w:rsid w:val="001B7424"/>
    <w:rsid w:val="001C11EC"/>
    <w:rsid w:val="001C1E6D"/>
    <w:rsid w:val="001C2E62"/>
    <w:rsid w:val="001C736B"/>
    <w:rsid w:val="001F3341"/>
    <w:rsid w:val="001F430A"/>
    <w:rsid w:val="001F59E3"/>
    <w:rsid w:val="001F7951"/>
    <w:rsid w:val="0025204B"/>
    <w:rsid w:val="002567F2"/>
    <w:rsid w:val="00286E0E"/>
    <w:rsid w:val="00290CD7"/>
    <w:rsid w:val="0029711C"/>
    <w:rsid w:val="002A570A"/>
    <w:rsid w:val="002B0713"/>
    <w:rsid w:val="002B232A"/>
    <w:rsid w:val="002D58B2"/>
    <w:rsid w:val="002F2F8A"/>
    <w:rsid w:val="002F3678"/>
    <w:rsid w:val="002F4FA7"/>
    <w:rsid w:val="00312FD0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A1628"/>
    <w:rsid w:val="003A282A"/>
    <w:rsid w:val="003A2ED1"/>
    <w:rsid w:val="003B0687"/>
    <w:rsid w:val="003B5003"/>
    <w:rsid w:val="003C0679"/>
    <w:rsid w:val="003D3D3B"/>
    <w:rsid w:val="003D725C"/>
    <w:rsid w:val="003E104D"/>
    <w:rsid w:val="003F0DCF"/>
    <w:rsid w:val="003F2DE6"/>
    <w:rsid w:val="003F570E"/>
    <w:rsid w:val="003F6B22"/>
    <w:rsid w:val="00404547"/>
    <w:rsid w:val="0041275B"/>
    <w:rsid w:val="004203AC"/>
    <w:rsid w:val="00420BCF"/>
    <w:rsid w:val="004255B0"/>
    <w:rsid w:val="0043075A"/>
    <w:rsid w:val="004519AF"/>
    <w:rsid w:val="00471A58"/>
    <w:rsid w:val="00492806"/>
    <w:rsid w:val="004978E8"/>
    <w:rsid w:val="004D395E"/>
    <w:rsid w:val="004D3D4E"/>
    <w:rsid w:val="004D70C5"/>
    <w:rsid w:val="004E117B"/>
    <w:rsid w:val="004E4AFA"/>
    <w:rsid w:val="004F4953"/>
    <w:rsid w:val="005121CF"/>
    <w:rsid w:val="005200B0"/>
    <w:rsid w:val="00522F24"/>
    <w:rsid w:val="005271BD"/>
    <w:rsid w:val="0055136B"/>
    <w:rsid w:val="00564D06"/>
    <w:rsid w:val="0056548D"/>
    <w:rsid w:val="00567FF4"/>
    <w:rsid w:val="00571927"/>
    <w:rsid w:val="00574F3E"/>
    <w:rsid w:val="005846F3"/>
    <w:rsid w:val="0059750B"/>
    <w:rsid w:val="005A0A31"/>
    <w:rsid w:val="005B34FA"/>
    <w:rsid w:val="005C02D2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2CA2"/>
    <w:rsid w:val="00615221"/>
    <w:rsid w:val="006209A2"/>
    <w:rsid w:val="00621AC9"/>
    <w:rsid w:val="00633407"/>
    <w:rsid w:val="00637FB9"/>
    <w:rsid w:val="006564B8"/>
    <w:rsid w:val="00660A68"/>
    <w:rsid w:val="00675920"/>
    <w:rsid w:val="00681B24"/>
    <w:rsid w:val="006A27F4"/>
    <w:rsid w:val="006B26E6"/>
    <w:rsid w:val="006B7D54"/>
    <w:rsid w:val="006D0AA3"/>
    <w:rsid w:val="006D3250"/>
    <w:rsid w:val="006D568B"/>
    <w:rsid w:val="006D706F"/>
    <w:rsid w:val="007065C2"/>
    <w:rsid w:val="007477A3"/>
    <w:rsid w:val="00747F75"/>
    <w:rsid w:val="00752301"/>
    <w:rsid w:val="007550DE"/>
    <w:rsid w:val="0079589A"/>
    <w:rsid w:val="007B0D1C"/>
    <w:rsid w:val="007D030C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673CB"/>
    <w:rsid w:val="00870E8E"/>
    <w:rsid w:val="00872015"/>
    <w:rsid w:val="00872A3B"/>
    <w:rsid w:val="0088749E"/>
    <w:rsid w:val="00893B3D"/>
    <w:rsid w:val="008C23CA"/>
    <w:rsid w:val="008D5A2C"/>
    <w:rsid w:val="008E5709"/>
    <w:rsid w:val="00932E8D"/>
    <w:rsid w:val="00943878"/>
    <w:rsid w:val="009529B3"/>
    <w:rsid w:val="00953A42"/>
    <w:rsid w:val="009574D7"/>
    <w:rsid w:val="00976025"/>
    <w:rsid w:val="00993988"/>
    <w:rsid w:val="00995AD8"/>
    <w:rsid w:val="009B4FB0"/>
    <w:rsid w:val="009B5767"/>
    <w:rsid w:val="009E4C8A"/>
    <w:rsid w:val="009E5981"/>
    <w:rsid w:val="009E6807"/>
    <w:rsid w:val="00A014D7"/>
    <w:rsid w:val="00A02AE5"/>
    <w:rsid w:val="00A20228"/>
    <w:rsid w:val="00A208F2"/>
    <w:rsid w:val="00A25754"/>
    <w:rsid w:val="00A27CD4"/>
    <w:rsid w:val="00A304AB"/>
    <w:rsid w:val="00A35893"/>
    <w:rsid w:val="00A37B02"/>
    <w:rsid w:val="00A423A7"/>
    <w:rsid w:val="00A5764B"/>
    <w:rsid w:val="00A73EAC"/>
    <w:rsid w:val="00A979AD"/>
    <w:rsid w:val="00AA570F"/>
    <w:rsid w:val="00AB3926"/>
    <w:rsid w:val="00AB65F7"/>
    <w:rsid w:val="00AB7446"/>
    <w:rsid w:val="00AC071E"/>
    <w:rsid w:val="00AF21CD"/>
    <w:rsid w:val="00B023B6"/>
    <w:rsid w:val="00B1726F"/>
    <w:rsid w:val="00B27B67"/>
    <w:rsid w:val="00B34BB1"/>
    <w:rsid w:val="00B35B2F"/>
    <w:rsid w:val="00B42FC3"/>
    <w:rsid w:val="00B43AE0"/>
    <w:rsid w:val="00B44923"/>
    <w:rsid w:val="00B50A6A"/>
    <w:rsid w:val="00B5573A"/>
    <w:rsid w:val="00B72853"/>
    <w:rsid w:val="00B91C31"/>
    <w:rsid w:val="00B94B32"/>
    <w:rsid w:val="00B967F1"/>
    <w:rsid w:val="00B973EF"/>
    <w:rsid w:val="00BC2BDB"/>
    <w:rsid w:val="00BC4E1B"/>
    <w:rsid w:val="00C11EB2"/>
    <w:rsid w:val="00C30A3F"/>
    <w:rsid w:val="00C536E0"/>
    <w:rsid w:val="00C60517"/>
    <w:rsid w:val="00C66F29"/>
    <w:rsid w:val="00C77826"/>
    <w:rsid w:val="00CA71A4"/>
    <w:rsid w:val="00CB09A0"/>
    <w:rsid w:val="00CC6928"/>
    <w:rsid w:val="00CD3F84"/>
    <w:rsid w:val="00CE4079"/>
    <w:rsid w:val="00CF4193"/>
    <w:rsid w:val="00D026E7"/>
    <w:rsid w:val="00D11C31"/>
    <w:rsid w:val="00D40B44"/>
    <w:rsid w:val="00D6271E"/>
    <w:rsid w:val="00D71BAB"/>
    <w:rsid w:val="00D758BA"/>
    <w:rsid w:val="00D77158"/>
    <w:rsid w:val="00D805BA"/>
    <w:rsid w:val="00D86B94"/>
    <w:rsid w:val="00DB370E"/>
    <w:rsid w:val="00DC37BF"/>
    <w:rsid w:val="00DC3DD9"/>
    <w:rsid w:val="00DD6AC1"/>
    <w:rsid w:val="00DE2A48"/>
    <w:rsid w:val="00DE58E2"/>
    <w:rsid w:val="00DF1F9C"/>
    <w:rsid w:val="00E009CB"/>
    <w:rsid w:val="00E02F25"/>
    <w:rsid w:val="00E10CA3"/>
    <w:rsid w:val="00E22322"/>
    <w:rsid w:val="00E31640"/>
    <w:rsid w:val="00E401D3"/>
    <w:rsid w:val="00E5026F"/>
    <w:rsid w:val="00E521AF"/>
    <w:rsid w:val="00E536D3"/>
    <w:rsid w:val="00E537EA"/>
    <w:rsid w:val="00E65D3E"/>
    <w:rsid w:val="00E748DC"/>
    <w:rsid w:val="00E8699C"/>
    <w:rsid w:val="00EA1FF0"/>
    <w:rsid w:val="00EA389E"/>
    <w:rsid w:val="00EA75C3"/>
    <w:rsid w:val="00EA761A"/>
    <w:rsid w:val="00EB2751"/>
    <w:rsid w:val="00ED0DBD"/>
    <w:rsid w:val="00F02C66"/>
    <w:rsid w:val="00F30084"/>
    <w:rsid w:val="00F42D51"/>
    <w:rsid w:val="00F5072F"/>
    <w:rsid w:val="00F56FD2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2986-2CB2-4BF6-8071-3EDC502B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6</cp:revision>
  <cp:lastPrinted>2019-06-27T03:57:00Z</cp:lastPrinted>
  <dcterms:created xsi:type="dcterms:W3CDTF">2019-08-16T03:49:00Z</dcterms:created>
  <dcterms:modified xsi:type="dcterms:W3CDTF">2019-08-26T10:44:00Z</dcterms:modified>
</cp:coreProperties>
</file>