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460013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460013">
        <w:rPr>
          <w:rFonts w:cs="Arial"/>
          <w:b/>
          <w:szCs w:val="26"/>
          <w:u w:val="single"/>
        </w:rPr>
        <w:t>148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E062E6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8C1B6A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156</w:t>
            </w:r>
            <w:r w:rsidR="00E062E6">
              <w:rPr>
                <w:b w:val="0"/>
                <w:i/>
              </w:rPr>
              <w:t>2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E062E6">
        <w:rPr>
          <w:rFonts w:eastAsiaTheme="minorHAnsi" w:cs="Arial"/>
          <w:szCs w:val="26"/>
        </w:rPr>
        <w:t>е</w:t>
      </w:r>
      <w:r w:rsidR="00D92E78">
        <w:rPr>
          <w:rFonts w:eastAsiaTheme="minorHAnsi" w:cs="Arial"/>
          <w:szCs w:val="26"/>
        </w:rPr>
        <w:t xml:space="preserve">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E062E6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72:25:0</w:t>
      </w:r>
      <w:r w:rsidR="00E062E6">
        <w:rPr>
          <w:rFonts w:eastAsiaTheme="minorHAnsi" w:cs="Arial"/>
          <w:szCs w:val="26"/>
        </w:rPr>
        <w:t>104009:1372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11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156</w:t>
      </w:r>
      <w:r w:rsidR="00E062E6">
        <w:rPr>
          <w:szCs w:val="26"/>
        </w:rPr>
        <w:t>2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</w:t>
      </w:r>
      <w:r w:rsidR="00113443">
        <w:rPr>
          <w:rFonts w:cs="Arial"/>
          <w:szCs w:val="26"/>
        </w:rPr>
        <w:t xml:space="preserve"> - </w:t>
      </w:r>
      <w:r w:rsidR="00D92E78">
        <w:rPr>
          <w:rFonts w:cs="Arial"/>
          <w:szCs w:val="26"/>
        </w:rPr>
        <w:t>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</w:t>
      </w:r>
      <w:r w:rsidR="00B667A1">
        <w:rPr>
          <w:rFonts w:eastAsiaTheme="minorHAnsi" w:cs="Arial"/>
          <w:szCs w:val="26"/>
        </w:rPr>
        <w:t xml:space="preserve"> д)</w:t>
      </w:r>
      <w:r w:rsidR="00D92E78">
        <w:rPr>
          <w:rFonts w:eastAsiaTheme="minorHAnsi" w:cs="Arial"/>
          <w:szCs w:val="26"/>
        </w:rPr>
        <w:t xml:space="preserve">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 w:rsidR="000D20D4">
        <w:rPr>
          <w:rFonts w:eastAsiaTheme="minorHAnsi" w:cs="Arial"/>
          <w:szCs w:val="26"/>
        </w:rPr>
        <w:t>б), в)</w:t>
      </w:r>
      <w:r w:rsidR="00B667A1">
        <w:rPr>
          <w:rFonts w:eastAsiaTheme="minorHAnsi" w:cs="Arial"/>
          <w:szCs w:val="26"/>
        </w:rPr>
        <w:t>, г)</w:t>
      </w:r>
      <w:r>
        <w:rPr>
          <w:rFonts w:eastAsiaTheme="minorHAnsi" w:cs="Arial"/>
          <w:szCs w:val="26"/>
        </w:rPr>
        <w:t xml:space="preserve">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7C" w:rsidRDefault="0044457C" w:rsidP="002E4C91">
      <w:r>
        <w:separator/>
      </w:r>
    </w:p>
  </w:endnote>
  <w:endnote w:type="continuationSeparator" w:id="0">
    <w:p w:rsidR="0044457C" w:rsidRDefault="0044457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7C" w:rsidRDefault="0044457C" w:rsidP="002E4C91">
      <w:r>
        <w:separator/>
      </w:r>
    </w:p>
  </w:footnote>
  <w:footnote w:type="continuationSeparator" w:id="0">
    <w:p w:rsidR="0044457C" w:rsidRDefault="0044457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20D4"/>
    <w:rsid w:val="000D39ED"/>
    <w:rsid w:val="000F2028"/>
    <w:rsid w:val="00113443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57C"/>
    <w:rsid w:val="00444A9B"/>
    <w:rsid w:val="00452A00"/>
    <w:rsid w:val="00460013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23BB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667A1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07065"/>
    <w:rsid w:val="00D157B5"/>
    <w:rsid w:val="00D20D32"/>
    <w:rsid w:val="00D2594E"/>
    <w:rsid w:val="00D35F24"/>
    <w:rsid w:val="00D402C5"/>
    <w:rsid w:val="00D40E31"/>
    <w:rsid w:val="00D42D8A"/>
    <w:rsid w:val="00D46535"/>
    <w:rsid w:val="00D5687C"/>
    <w:rsid w:val="00D64699"/>
    <w:rsid w:val="00D751E8"/>
    <w:rsid w:val="00D84C96"/>
    <w:rsid w:val="00D92E78"/>
    <w:rsid w:val="00DA2EDD"/>
    <w:rsid w:val="00DA3EF4"/>
    <w:rsid w:val="00DB1646"/>
    <w:rsid w:val="00DB3A4B"/>
    <w:rsid w:val="00DB3AA1"/>
    <w:rsid w:val="00DB6FE5"/>
    <w:rsid w:val="00DC3B83"/>
    <w:rsid w:val="00DC64A1"/>
    <w:rsid w:val="00DE1839"/>
    <w:rsid w:val="00E027A5"/>
    <w:rsid w:val="00E062E6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518D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2020-03-03T08:53:00Z</cp:lastPrinted>
  <dcterms:created xsi:type="dcterms:W3CDTF">2020-02-27T10:10:00Z</dcterms:created>
  <dcterms:modified xsi:type="dcterms:W3CDTF">2020-03-03T10:43:00Z</dcterms:modified>
</cp:coreProperties>
</file>