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765852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<v:stroke linestyle="thinThin"/>
          </v:line>
        </w:pic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A1022F" w:rsidRDefault="00A1022F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1022F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870E8E" w:rsidRPr="00A102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3E104D" w:rsidRPr="00A1022F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Pr="00A1022F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263179" w:rsidRPr="00A1022F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A1022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B83603" w:rsidRPr="00A1022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A1022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 w:rsidR="00765852">
        <w:rPr>
          <w:rFonts w:ascii="Arial" w:eastAsia="Times New Roman" w:hAnsi="Arial" w:cs="Arial"/>
          <w:sz w:val="26"/>
          <w:szCs w:val="26"/>
          <w:lang w:eastAsia="ru-RU"/>
        </w:rPr>
        <w:t>235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</w:tblGrid>
      <w:tr w:rsidR="00263179" w:rsidRPr="00A1022F" w:rsidTr="00765852">
        <w:trPr>
          <w:trHeight w:val="69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63179" w:rsidRPr="00A1022F" w:rsidRDefault="00263179" w:rsidP="00765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Об утверждении отчета о выпо</w:t>
            </w:r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л</w:t>
            </w:r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нении прогнозного </w:t>
            </w:r>
            <w:proofErr w:type="gramStart"/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</w:t>
            </w:r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</w:t>
            </w:r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зации муниципального имущества города Ишима</w:t>
            </w:r>
            <w:proofErr w:type="gramEnd"/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за 201</w:t>
            </w:r>
            <w:r w:rsidR="00B83603"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8</w:t>
            </w:r>
            <w:r w:rsidRPr="00A1022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263179" w:rsidRPr="00A1022F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A1022F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A1022F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63179" w:rsidRPr="00A1022F" w:rsidRDefault="00263179" w:rsidP="0026317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263179" w:rsidRPr="00A1022F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A1022F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263179" w:rsidRPr="00A1022F" w:rsidRDefault="00263179" w:rsidP="00263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B83603" w:rsidRPr="00A1022F" w:rsidRDefault="00B83603" w:rsidP="00A1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022F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A1022F">
          <w:rPr>
            <w:rFonts w:ascii="Arial" w:hAnsi="Arial" w:cs="Arial"/>
            <w:sz w:val="26"/>
            <w:szCs w:val="26"/>
          </w:rPr>
          <w:t>законом</w:t>
        </w:r>
      </w:hyperlink>
      <w:r w:rsidRPr="00A1022F">
        <w:rPr>
          <w:rFonts w:ascii="Arial" w:hAnsi="Arial" w:cs="Arial"/>
          <w:sz w:val="26"/>
          <w:szCs w:val="26"/>
        </w:rPr>
        <w:t xml:space="preserve"> от 21.12.2001 N 178-ФЗ "О пр</w:t>
      </w:r>
      <w:r w:rsidRPr="00A1022F">
        <w:rPr>
          <w:rFonts w:ascii="Arial" w:hAnsi="Arial" w:cs="Arial"/>
          <w:sz w:val="26"/>
          <w:szCs w:val="26"/>
        </w:rPr>
        <w:t>и</w:t>
      </w:r>
      <w:r w:rsidRPr="00A1022F">
        <w:rPr>
          <w:rFonts w:ascii="Arial" w:hAnsi="Arial" w:cs="Arial"/>
          <w:sz w:val="26"/>
          <w:szCs w:val="26"/>
        </w:rPr>
        <w:t xml:space="preserve">ватизации государственного и муниципального имущества", </w:t>
      </w:r>
      <w:hyperlink r:id="rId9" w:history="1">
        <w:r w:rsidRPr="00A1022F">
          <w:rPr>
            <w:rFonts w:ascii="Arial" w:hAnsi="Arial" w:cs="Arial"/>
            <w:sz w:val="26"/>
            <w:szCs w:val="26"/>
          </w:rPr>
          <w:t>Положением</w:t>
        </w:r>
      </w:hyperlink>
      <w:r w:rsidRPr="00A1022F">
        <w:rPr>
          <w:rFonts w:ascii="Arial" w:hAnsi="Arial" w:cs="Arial"/>
          <w:sz w:val="26"/>
          <w:szCs w:val="26"/>
        </w:rPr>
        <w:t xml:space="preserve"> о порядке и условиях приватизации муниципального имущества муниципальн</w:t>
      </w:r>
      <w:r w:rsidRPr="00A1022F">
        <w:rPr>
          <w:rFonts w:ascii="Arial" w:hAnsi="Arial" w:cs="Arial"/>
          <w:sz w:val="26"/>
          <w:szCs w:val="26"/>
        </w:rPr>
        <w:t>о</w:t>
      </w:r>
      <w:r w:rsidRPr="00A1022F">
        <w:rPr>
          <w:rFonts w:ascii="Arial" w:hAnsi="Arial" w:cs="Arial"/>
          <w:sz w:val="26"/>
          <w:szCs w:val="26"/>
        </w:rPr>
        <w:t>го образования городской округ город Ишим, утвержденным решением Иши</w:t>
      </w:r>
      <w:r w:rsidRPr="00A1022F">
        <w:rPr>
          <w:rFonts w:ascii="Arial" w:hAnsi="Arial" w:cs="Arial"/>
          <w:sz w:val="26"/>
          <w:szCs w:val="26"/>
        </w:rPr>
        <w:t>м</w:t>
      </w:r>
      <w:r w:rsidRPr="00A1022F">
        <w:rPr>
          <w:rFonts w:ascii="Arial" w:hAnsi="Arial" w:cs="Arial"/>
          <w:sz w:val="26"/>
          <w:szCs w:val="26"/>
        </w:rPr>
        <w:t xml:space="preserve">ской городской Думы от 31.03.2016 N 41, </w:t>
      </w:r>
      <w:proofErr w:type="spellStart"/>
      <w:r w:rsidRPr="00A1022F">
        <w:rPr>
          <w:rFonts w:ascii="Arial" w:hAnsi="Arial" w:cs="Arial"/>
          <w:sz w:val="26"/>
          <w:szCs w:val="26"/>
        </w:rPr>
        <w:t>Ишимская</w:t>
      </w:r>
      <w:proofErr w:type="spellEnd"/>
      <w:r w:rsidRPr="00A1022F">
        <w:rPr>
          <w:rFonts w:ascii="Arial" w:hAnsi="Arial" w:cs="Arial"/>
          <w:sz w:val="26"/>
          <w:szCs w:val="26"/>
        </w:rPr>
        <w:t xml:space="preserve"> городская Дума решила:</w:t>
      </w:r>
    </w:p>
    <w:p w:rsidR="00B83603" w:rsidRPr="00A1022F" w:rsidRDefault="00B83603" w:rsidP="00A1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022F">
        <w:rPr>
          <w:rFonts w:ascii="Arial" w:hAnsi="Arial" w:cs="Arial"/>
          <w:sz w:val="26"/>
          <w:szCs w:val="26"/>
        </w:rPr>
        <w:t xml:space="preserve">1. Утвердить </w:t>
      </w:r>
      <w:hyperlink r:id="rId10" w:history="1">
        <w:r w:rsidRPr="00A1022F">
          <w:rPr>
            <w:rFonts w:ascii="Arial" w:hAnsi="Arial" w:cs="Arial"/>
            <w:sz w:val="26"/>
            <w:szCs w:val="26"/>
          </w:rPr>
          <w:t>отчет</w:t>
        </w:r>
      </w:hyperlink>
      <w:r w:rsidRPr="00A1022F">
        <w:rPr>
          <w:rFonts w:ascii="Arial" w:hAnsi="Arial" w:cs="Arial"/>
          <w:sz w:val="26"/>
          <w:szCs w:val="26"/>
        </w:rPr>
        <w:t xml:space="preserve"> о выполнении прогнозного </w:t>
      </w:r>
      <w:proofErr w:type="gramStart"/>
      <w:r w:rsidRPr="00A1022F">
        <w:rPr>
          <w:rFonts w:ascii="Arial" w:hAnsi="Arial" w:cs="Arial"/>
          <w:sz w:val="26"/>
          <w:szCs w:val="26"/>
        </w:rPr>
        <w:t>плана приватизации м</w:t>
      </w:r>
      <w:r w:rsidRPr="00A1022F">
        <w:rPr>
          <w:rFonts w:ascii="Arial" w:hAnsi="Arial" w:cs="Arial"/>
          <w:sz w:val="26"/>
          <w:szCs w:val="26"/>
        </w:rPr>
        <w:t>у</w:t>
      </w:r>
      <w:r w:rsidRPr="00A1022F">
        <w:rPr>
          <w:rFonts w:ascii="Arial" w:hAnsi="Arial" w:cs="Arial"/>
          <w:sz w:val="26"/>
          <w:szCs w:val="26"/>
        </w:rPr>
        <w:t>ниципального имущества города Ишима</w:t>
      </w:r>
      <w:proofErr w:type="gramEnd"/>
      <w:r w:rsidRPr="00A1022F">
        <w:rPr>
          <w:rFonts w:ascii="Arial" w:hAnsi="Arial" w:cs="Arial"/>
          <w:sz w:val="26"/>
          <w:szCs w:val="26"/>
        </w:rPr>
        <w:t xml:space="preserve"> за 2018 год, согласно приложению.</w:t>
      </w:r>
    </w:p>
    <w:p w:rsidR="00B83603" w:rsidRPr="00A1022F" w:rsidRDefault="00B83603" w:rsidP="00A1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A1022F">
        <w:rPr>
          <w:rFonts w:ascii="Arial" w:hAnsi="Arial" w:cs="Arial"/>
          <w:sz w:val="26"/>
          <w:szCs w:val="26"/>
        </w:rPr>
        <w:t xml:space="preserve">2. </w:t>
      </w:r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</w:t>
      </w:r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тевом издании «Официальные документы города Ишима» </w:t>
      </w:r>
      <w:r w:rsidRPr="00A1022F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11" w:history="1">
        <w:r w:rsidRPr="00A1022F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Pr="00A1022F">
        <w:rPr>
          <w:rFonts w:ascii="Arial" w:eastAsia="Times New Roman" w:hAnsi="Arial" w:cs="Arial"/>
          <w:bCs/>
          <w:sz w:val="26"/>
          <w:szCs w:val="26"/>
          <w:lang w:eastAsia="ru-RU"/>
        </w:rPr>
        <w:t>),</w:t>
      </w:r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разместить на официальном сайте муниципального образования городской округ город Ишим ishim.admtyumen.ru и на официальном сайте РФ </w:t>
      </w:r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proofErr w:type="spellStart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proofErr w:type="spellEnd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proofErr w:type="spellEnd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A1022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B83603" w:rsidRPr="00A1022F" w:rsidRDefault="00B83603" w:rsidP="00A1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022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A1022F">
        <w:rPr>
          <w:rFonts w:ascii="Arial" w:hAnsi="Arial" w:cs="Arial"/>
          <w:sz w:val="26"/>
          <w:szCs w:val="26"/>
        </w:rPr>
        <w:t>Контроль за</w:t>
      </w:r>
      <w:proofErr w:type="gramEnd"/>
      <w:r w:rsidRPr="00A1022F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A1022F">
        <w:rPr>
          <w:rFonts w:ascii="Arial" w:hAnsi="Arial" w:cs="Arial"/>
          <w:sz w:val="26"/>
          <w:szCs w:val="26"/>
        </w:rPr>
        <w:t>о</w:t>
      </w:r>
      <w:r w:rsidRPr="00A1022F">
        <w:rPr>
          <w:rFonts w:ascii="Arial" w:hAnsi="Arial" w:cs="Arial"/>
          <w:sz w:val="26"/>
          <w:szCs w:val="26"/>
        </w:rPr>
        <w:t>янную комиссию Ишимской городской Думы по бюджету, экономике и пре</w:t>
      </w:r>
      <w:r w:rsidRPr="00A1022F">
        <w:rPr>
          <w:rFonts w:ascii="Arial" w:hAnsi="Arial" w:cs="Arial"/>
          <w:sz w:val="26"/>
          <w:szCs w:val="26"/>
        </w:rPr>
        <w:t>д</w:t>
      </w:r>
      <w:r w:rsidRPr="00A1022F">
        <w:rPr>
          <w:rFonts w:ascii="Arial" w:hAnsi="Arial" w:cs="Arial"/>
          <w:sz w:val="26"/>
          <w:szCs w:val="26"/>
        </w:rPr>
        <w:t>принимательству.</w:t>
      </w:r>
    </w:p>
    <w:p w:rsidR="00DC37BF" w:rsidRPr="00A1022F" w:rsidRDefault="00DC37BF" w:rsidP="00C635E0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DC37BF" w:rsidRPr="00A1022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A1022F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022F" w:rsidRDefault="00DC37BF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A1022F" w:rsidSect="00A1022F">
          <w:pgSz w:w="11906" w:h="16838" w:code="9"/>
          <w:pgMar w:top="1134" w:right="567" w:bottom="1134" w:left="1701" w:header="720" w:footer="720" w:gutter="0"/>
          <w:cols w:space="720"/>
        </w:sectPr>
      </w:pPr>
      <w:r w:rsidRPr="00A1022F">
        <w:rPr>
          <w:rFonts w:ascii="Arial" w:eastAsia="Times New Roman" w:hAnsi="Arial" w:cs="Arial"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tbl>
      <w:tblPr>
        <w:tblW w:w="14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3180"/>
        <w:gridCol w:w="519"/>
        <w:gridCol w:w="468"/>
        <w:gridCol w:w="857"/>
        <w:gridCol w:w="361"/>
        <w:gridCol w:w="341"/>
        <w:gridCol w:w="1142"/>
        <w:gridCol w:w="81"/>
        <w:gridCol w:w="478"/>
        <w:gridCol w:w="1086"/>
        <w:gridCol w:w="200"/>
        <w:gridCol w:w="557"/>
        <w:gridCol w:w="578"/>
        <w:gridCol w:w="307"/>
        <w:gridCol w:w="107"/>
        <w:gridCol w:w="1254"/>
        <w:gridCol w:w="164"/>
        <w:gridCol w:w="1276"/>
        <w:gridCol w:w="149"/>
        <w:gridCol w:w="16"/>
        <w:gridCol w:w="1277"/>
      </w:tblGrid>
      <w:tr w:rsidR="00A1022F" w:rsidRPr="00A1022F" w:rsidTr="00765852">
        <w:trPr>
          <w:trHeight w:val="8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BA22DC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BA22DC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BA22DC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BA22DC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BA22DC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BA22DC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22F" w:rsidRPr="00BA22DC" w:rsidRDefault="00A1022F" w:rsidP="00A10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22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</w:p>
          <w:p w:rsidR="00A1022F" w:rsidRPr="00BA22DC" w:rsidRDefault="00A1022F" w:rsidP="00A10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A22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 решению </w:t>
            </w:r>
            <w:r w:rsidRPr="00BA22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Ишимской городской Думы</w:t>
            </w:r>
            <w:r w:rsidRPr="00BA22D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от 28.02.2019 №235</w:t>
            </w:r>
          </w:p>
        </w:tc>
      </w:tr>
      <w:tr w:rsidR="00A1022F" w:rsidRPr="00A1022F" w:rsidTr="00BA22DC">
        <w:trPr>
          <w:trHeight w:val="292"/>
        </w:trPr>
        <w:tc>
          <w:tcPr>
            <w:tcW w:w="14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CE" w:rsidRDefault="00362CCE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1022F" w:rsidRPr="00BA22DC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22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ОТЧЕТ</w:t>
            </w:r>
          </w:p>
        </w:tc>
      </w:tr>
      <w:tr w:rsidR="00A1022F" w:rsidRPr="00A1022F" w:rsidTr="00BA22DC">
        <w:trPr>
          <w:trHeight w:val="292"/>
        </w:trPr>
        <w:tc>
          <w:tcPr>
            <w:tcW w:w="14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22F" w:rsidRPr="00BA22DC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22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О ВЫПОЛНЕНИИ ПРОГНОЗНОГО </w:t>
            </w:r>
            <w:proofErr w:type="gramStart"/>
            <w:r w:rsidRPr="00BA22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BA22DC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ЗА 2018 ГОД</w:t>
            </w:r>
          </w:p>
        </w:tc>
      </w:tr>
      <w:tr w:rsidR="00A1022F" w:rsidRPr="00A1022F" w:rsidTr="00BA22DC">
        <w:trPr>
          <w:trHeight w:val="292"/>
        </w:trPr>
        <w:tc>
          <w:tcPr>
            <w:tcW w:w="149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2F" w:rsidRPr="00A1022F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1022F" w:rsidRPr="00BA22DC" w:rsidTr="00765852">
        <w:trPr>
          <w:trHeight w:val="15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Планируемый доход в ру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лях (без НДС)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Цена сделки (без НДС)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Поступление в городской бю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жет в 2018 году в рублях (без НДС)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ды на орган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зацию и пров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дение прив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тиз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Сроки сде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ки (дата д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говора ку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ли-продажи)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Способ приват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Примеч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A1022F" w:rsidRPr="00A1022F" w:rsidTr="00765852">
        <w:trPr>
          <w:trHeight w:val="20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022F" w:rsidRPr="00A1022F" w:rsidTr="00BA22DC">
        <w:trPr>
          <w:trHeight w:val="306"/>
        </w:trPr>
        <w:tc>
          <w:tcPr>
            <w:tcW w:w="1491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Объекты, включенные в прогнозный план приватизации муниципального имущества на 2018 год, и приватиз</w:t>
            </w: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рованные в 2018 году</w:t>
            </w:r>
          </w:p>
        </w:tc>
      </w:tr>
      <w:tr w:rsidR="00A1022F" w:rsidRPr="00A1022F" w:rsidTr="00765852">
        <w:trPr>
          <w:trHeight w:val="1008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CCE" w:rsidRPr="00765852" w:rsidRDefault="00A1022F" w:rsidP="00765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одноэтажное бревенчатое здание (конт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ра) общей площадью 126,4 кв. м, расп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ложенное по адресу: Тюменская область, 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 Ишим, ул. Красина, дом 9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1 171 506,94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1 171 506,94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1 171 506,94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27.04.2018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55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CCE" w:rsidRPr="00765852" w:rsidRDefault="00A1022F" w:rsidP="00765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одноэтажное кирпичное стро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 (цех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маслотопки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общей площадью 194,6 кв. м, расположенное по адресу: Тюме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город Ишим, ул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ца Красина, дом 9/1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1571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CCE" w:rsidRPr="00765852" w:rsidRDefault="00A1022F" w:rsidP="00765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одноэтажное кирпичное строение (быт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вое помещение, м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стерские, кузница) общей площадью 124,7 кв. м, распол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женное по адресу: Тюменская область, город Ишим, улица Красина, дом 9/3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122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CCE" w:rsidRPr="00765852" w:rsidRDefault="00A1022F" w:rsidP="00765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одноэтажное шлакоблочное строение (материальный склад на холодильнике) общей площадью 494,2 кв. м, распол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женное по адресу: Тюменская область, город Ишим, улица Красина, дом 9/5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159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участок, категория земель: земли населенных пунктов, разрешенное использование: под нежилые здания, строения, площадь 7895 кв. м, распол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женный по адресу: обл. Тюменская, г. Ишим, ул. Красина, 9, кадастровый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мер: 72:25:0101010:69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8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Часть нежилого помещения, назначение: нежилое, общая площадь: 88,80 кв. м, по адресу: Тюменская область, г. Ишим, ул. Ленина, д. 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1 536 548,80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768 274,40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768 274,40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BA2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286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Машина вакуумная КО-520, 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тегория С, год изготовления 2000, модель, N двиг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508004 Y 0240696, номер шасси (рамы) 433362Y3448515, идентификац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онный номер XVL482320Y0000192, цвет кузова белый, мощность двигат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157 (115,4) кВт, объем дв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гателя 6000 см. куб., тип двигателя бензиновый, разр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шенная максимальная масса 10820 кг., масса без нагрузки 5595 кг., ПТС 52 ЕХ 030969, выдан 15.11.2000 ОАО "КО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84 745,80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36 441,00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36 441,00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ления 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7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Специальный автомобиль УАЗ-396259, категория В, год изготовления 2003, идентификационный номер ХТТ39625930039280, модель, N двигат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УМЗ-421800, N 21103528, шасси (р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ма) N 37410030160108, кузов N 37410030201350, цвет кузова мурена, мощность двигателя 84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61,8 кВт, 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бочий объем двигателя 2890 куб. см., тип двигателя бензиновый, разрешенная максимальная масса 2720 кг., масса без 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нагрузки 1720 кг., ПТС 73 КН 641774, 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 14.02.2003, ОАО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УАЗ, 432008 РФ г. Ульяновск, 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ковское шоссе 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69 691,80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32 949,00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32 949,00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ления 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1136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строение, назначение: нежилое, 2-этажный (подзе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 этажей - 1), общая площадь 346,9 кв. м, расположенное по адресу: Тюменская область, г. Ишим, ул. М. Садовая, д. 32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2608596,60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1304298,00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1304298,00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945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строение (гараж), назначение: нежилое, 1-этажный, общая площадь 67,6 кв. м, расположенное по адресу: Тюменская область, г. Ишим, ул. М. 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довая, д. 32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703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участок, категория земель: земли населенных пунктов, разрешенное испол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зование: под здание, площадь 847 кв. м, расположенный по адресу: обл. Тюменская, г. Ишим, ул. Малая Садовая, 32, кадастровый номер: 72:25:0104006:15</w:t>
            </w:r>
            <w:proofErr w:type="gramEnd"/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22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здание, </w:t>
            </w:r>
          </w:p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назначение: нежилое здание, общей площадью 584,4 кв. м с земельным участком, категория земель: земли нас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ленных пунктов, разрешенное использ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вание: деловое управление, площадь 2201 кв. м, кадастровый номер: 72:25:0101010:172, расположенные по адресу: 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</w:t>
            </w:r>
            <w:r w:rsidR="00765852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Калинина, 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2677158,50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1338579,50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1338579,50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184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Нежилое строение, назначение: нежилое строение, 1-этажное, общая площадь 251 кв. м, адрес объекта: 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Иркутская, д. 26 с земел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ным участком категория земель: земли населенных пунктов, разрешенное 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пользование: под нежилое здание, пл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щадь 960 кв. м, адрес объекта: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г. Ишим, ул. Иркутская, 26, 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дастровый номер 72:25:0105009:539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615000,00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BA2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13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площ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дью 254,6 кв. м, в том числе подвал, этаж N 1, расп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ложенное по адресу: 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Карла Маркса, 63/2, кадас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ровый номер: 72:25:0105003:1251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2500000,00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288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KIA CERATO, легковой, идентификацио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номер (VIN)KNEFE227385543792, категория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год изготовления 2007, м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дель, N двигателя G4FC7U327009, шасси (рама) N отсутствует, кузов (кабина, пр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цеп) N KNEFE227385543792, цвет кузова серебристый, 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ность двигателя 122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89,7 кВт, рабочий объем двигателя 1591 куб. см, тип двигателя бензиновый, экологический класс четвертый, разр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шенная максимальная масса 1760 кг, масса без нагрузки 1366 кг,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ганизация - изготовитель КИА МОТОРС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Корпорейшн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(Корея, Республика), ПТС 78 УА 097341 от 15.06.2008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149153,00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149153,00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7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КАВЗ 397620 идентификацио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номер Х1Е39762070041896, год изг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товления 2007, модель, N двигателя 51300К-71007301, шасси (рама) N 33074070931582, кузов (кабина, прицеп) N 39762070041896, цвет кузова белый, мощность двигателя 119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л.с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рабочий объем двигателя 4250 куб. см, тип двиг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бензиновый, разрешенная макс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мальная масса 5870 кг, ПТС N 72 НА 898998 от 13.12.2012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79977,12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27119,00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ления 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27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ГАЗ3307 специальная прочая, категория С, год изготовления 1993, идентификац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онный номер ХТН330700Р1461046, м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дель (N двигателя) 511-0134088, шасси (рама) N 1461046, кузов (прицеп) N 6727, цвет кузова синий, мощность двигателя 120 (88,2)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(кВт), рабочий объем двиг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4250 куб. см, тип двигателя бенз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новый, разрешенная максимальная ма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 7400 кг, масса без нагрузки 3250 кг, ПТС 72 ЕТ 824102 выдан 23.11.2001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Ишимское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МРЭО ГИБДД, Тюменская 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обл., г. Ишим, ул. 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публики, 4А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19492,00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112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CCE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ВАЗ 21104 легковой, катег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рия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год изготовления 2005, идентиф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кацио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номер ХТА21104050548038, модель (N двигателя) 21128, 0000722, 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зов (кабина, прицеп) N 0000170, цвет кузова серебристый, 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ность двигателя 72,0 кВт, тип двигателя бензиновый, ра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решенная максимальная масса 1525 кг, масса без нагрузки 1100 кг, ПТС 63 КХ 368960 от 12.08.2005, выдан ЗАО "Супер - Авто"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8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ГАЗ-33023 грузовой, катег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рия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год изготовления 2004, идентиф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кацио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ный номер ХТН33023041933969, модель (N двигателя) *40630А*43044794*, шасси (рама) N 33023041990461, кузов (кабина, прицеп) N 33023040029441, цвет кузова снежно-белый, мощность двигателя 72,2 кВт, 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бочий объем двигателя 2285 куб. см, тип двигателя бензиновый, разрешенная максимал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ь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ная масса 3500 кг, масса без нагрузки 2100 кг, ПТС 52КТ121656 выдан 13.04.2004 ОАО "ГАЗ"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42288,00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42288,00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42288,00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2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12 199 666,56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8 035 608,84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8 035 608,84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765852">
        <w:trPr>
          <w:trHeight w:val="9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неж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лое, общая площадь 392,9 кв. м, этаж: подвал, по адресу: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г. Ишим, ул. Суворова, д. 38/2</w:t>
            </w:r>
          </w:p>
          <w:p w:rsidR="00362CCE" w:rsidRPr="00765852" w:rsidRDefault="00362CCE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357 627,00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359044,22 (опл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чено в 2019 году)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объя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ления ц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BA22DC">
        <w:trPr>
          <w:trHeight w:val="292"/>
        </w:trPr>
        <w:tc>
          <w:tcPr>
            <w:tcW w:w="14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65852" w:rsidRDefault="00765852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Объекты, включенные в план приватизации 2014-2018 гг. </w:t>
            </w:r>
          </w:p>
        </w:tc>
      </w:tr>
      <w:tr w:rsidR="00A1022F" w:rsidRPr="00A1022F" w:rsidTr="00BA22DC">
        <w:trPr>
          <w:trHeight w:val="292"/>
        </w:trPr>
        <w:tc>
          <w:tcPr>
            <w:tcW w:w="14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(договоры купли-продажи с рассрочкой платежа на срок 5 - 8 лет равными долями)</w:t>
            </w:r>
          </w:p>
          <w:p w:rsidR="00BA22DC" w:rsidRPr="00765852" w:rsidRDefault="00BA22DC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022F" w:rsidRPr="00A1022F" w:rsidTr="00765852">
        <w:trPr>
          <w:trHeight w:val="173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мый доход в рублях (без НДС)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Цена сделки в рублях (без НДС)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Поступление в городской бю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жет в 2018 году, руб.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ды на орг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низ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цию и пров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дение приват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сделки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(дата дог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вора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br/>
              <w:t>купли-продажи)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Способ пр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ватиз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Примеч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A1022F" w:rsidRPr="00A1022F" w:rsidTr="00765852">
        <w:trPr>
          <w:trHeight w:val="20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022F" w:rsidRPr="00A1022F" w:rsidTr="00765852">
        <w:trPr>
          <w:trHeight w:val="11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жилое, общая площадь 44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/подвал, адрес объе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та: Тюменская область, г. Ишим, ул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енина,60/2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682203,39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682203,39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140652,81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BA22DC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соотве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="00A1022F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7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Отдельно стоящее зд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 по адресу 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обл., г. Ишим, ул. К. Маркса,58 общей площадью 2443,90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 уч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 земельн</w:t>
            </w:r>
            <w:r w:rsidR="00765852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 участка пл</w:t>
            </w:r>
            <w:r w:rsidR="00765852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765852"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щадью 1403 кв. м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60743576,28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60743576,28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9091715,86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10.07.2014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 назначение: неж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лое, общая площадь 202,4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по адресу: 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г. Ишим, ул. Луначарск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го, д.19, строение 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2119492,00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2119492,00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105299,48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50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Нежилые помещения общей площадью 57,6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 этаж 1, по адресу: 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Тюменская область, г. Ишим, ул. Луначарского, д.19, состоящие из нежилого помещения площадью 7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 нежилого помещения площ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50,6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484300,00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484300,00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45186,50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17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лое, общей площадью 70,3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этаж 1, по адресу: 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г. Ишим, ул.30 лет ВЛКСМ, д.28/1.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2036440,00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2036440,00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576991,22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17.09.2015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5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жилое, общая площадь 29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подвал распол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женное по адресу: Тюменская область, г. Ишим, ул. Ленина, 60/3.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491525,00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491525,00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104719,64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82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Помещение-офис (по экспл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кации №1,2,3,4,5,6,7), назнач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ние: нежилое, общей площ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83,10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расположе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ное по адресу: 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Луначарск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го, д.68.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2927118,64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2927118,64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623632,69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7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 (магазин), назн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чение: нежилое, этаж-1, пл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щадью 128,1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распол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женное по адресу: Тюменская область, г. Ишим, ул. Лунача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ского, 68/5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3216000,00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3216000,00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75552,82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54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жилое помещ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ние, площадью 99,8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расположе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ное по адресу: 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г. Ишим, ул. Береговая, 21/4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2538600,00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2538600,00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23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жилое, общей площадью 74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расположенное по адресу: Тюменская область, г. Ишим, ул. Чехова, д.15/3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1692379,00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1692379,00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371100,09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29.01.2016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9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лое, площ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1250,5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1,2, адрес объекта: 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менская область, город Ишим, улица Литвин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ва, 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2563525,00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2563525,00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8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строение, назнач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ние: нежилое строение, 1 – этажное, общая площадь 148,9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адрес объекта: Тюме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область, г. Ишим, ул. Ча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ковского, д.25, с земел</w:t>
            </w:r>
            <w:r w:rsid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ьным участком площадью 272 </w:t>
            </w:r>
            <w:proofErr w:type="spellStart"/>
            <w:r w:rsid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3511060,00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3511060,00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644292,79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 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41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(столовая), назнач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ние: столовая, 1-этажное,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щая площадь 269,1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адресу: 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Ишимский район, территория СОЛ Юность – 1, строен.2, с земельным участком площ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дью 25729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1597000,00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352098,36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51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Здание (спальный корпус), назначение: спальный корпус, 1-этажный, общая пл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щадь 271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по адресу: Тюме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Ишимский район, территория СОЛ Юность – 2, строен.1, с земельным учас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 площадью 8555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719000,00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158521,11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1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жилое помещ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ние, площадь 35,7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по адресу: Тюменская область, город Ишим, ул. 8-е Марта, дом 20, помещение 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753000,00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189970,85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07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жилое, площадь 11,8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этаж: 1, по адресу: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город Ишим, улица Казанская, дом 36/1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248700,00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248700,00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44829,26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Помещение, назначение неж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лое помещение, площадь 525,9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этаж 1, по адресу: Тюменская область, город  Ишим, улица Литвинова, 1, строение 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1 976 796,61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1976796,61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2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помещение, общей площадью 14,6 </w:t>
            </w:r>
            <w:proofErr w:type="spellStart"/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распол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женное по адресу: Тюменская область, город Ишим, ул. К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занская, 36/1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308 000,00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308000,00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60094,65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29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Нежилое помещение, общей площадью 74,4 </w:t>
            </w:r>
            <w:proofErr w:type="spellStart"/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(№7, 8 по экспл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кации), расположенное в отдельно стоящем кирпичном здании по адресу: Тюменская область, г. Ишим, ул. Л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нина, д. 21 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666 132,00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666132,00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52500,00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01.11.2017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23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Сооружение, назначение: 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жилое, прот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женность 255 м., расположенное по адресу: 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менская область, г. Ишим, ул.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Плешко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сооружение 6, кадастровый номер: 72:10:0000000:764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1430000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1430000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53319,24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30.09.2026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7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Здание, назначение: нежилое здание, 1-этажное, общая площадь 84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расположе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ное по адресу: Тюменская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ласть, г. Ишим, ул.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Плешко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ская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1, здание 4, к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дастровый номер: 72:10:0000000:753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467 950,00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467950,00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17448,08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 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13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22F" w:rsidRPr="00765852" w:rsidRDefault="00A1022F" w:rsidP="0076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помещение, назнач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ние: нежилое помещение, этаж № 1, площадью 95,1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положенное по адресу: Тюме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ская 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ласть, город Ишим, ул. Ленина, дом 21, кадас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ровый номер: 72:25:0104016:978</w:t>
            </w: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869 404,00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869404,00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30.09.2026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порядке, предусмо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ренном Фед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ральным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коном № 159-ФЗ от 22.07.2008г.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ствии с догов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 купли-прод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 пред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ставлена рассро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 плат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</w:t>
            </w:r>
          </w:p>
        </w:tc>
      </w:tr>
      <w:tr w:rsidR="00A1022F" w:rsidRPr="00A1022F" w:rsidTr="00765852">
        <w:trPr>
          <w:trHeight w:val="27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на 31.12.2018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89274847,92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91172797,92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13883426,14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022F" w:rsidRPr="00A1022F" w:rsidTr="00BA22DC">
        <w:trPr>
          <w:trHeight w:val="292"/>
        </w:trPr>
        <w:tc>
          <w:tcPr>
            <w:tcW w:w="14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7658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неприватизированного имущества в 2018 году</w:t>
            </w:r>
          </w:p>
        </w:tc>
      </w:tr>
      <w:tr w:rsidR="00A1022F" w:rsidRPr="00A1022F" w:rsidTr="00765852">
        <w:trPr>
          <w:trHeight w:val="124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Планиру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мый доход в рублях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Цена сделки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Поступл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ние в городской бюджет в 2018 году, руб.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Расходы на организ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цию и пр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ведение приватиз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Сроки сделки (д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та д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говора купли-продажи)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Способ прив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тизации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Примеч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</w:tr>
      <w:tr w:rsidR="00A1022F" w:rsidRPr="00A1022F" w:rsidTr="00765852">
        <w:trPr>
          <w:trHeight w:val="204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1022F" w:rsidRPr="00A1022F" w:rsidTr="00765852">
        <w:trPr>
          <w:trHeight w:val="13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2F" w:rsidRPr="00765852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 ПАЗ32050R, идент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фикационный номер (VIN)XTM32050RW0004216, катег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рия D, год изготовления 1998, модель, N двигателя ЗМЗ523400-1016558, шасси (рама) N отсутств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ет, кузов (прицеп) N W0004216, цвет кузова (кабины) бело-зеленый, мощность двиг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 120 (88,2), рабочий объем двигателя 4670 куб. см, тип двигателя бенз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новый, разрешенная макс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мальная масса 7460 кг, масса без нагрузки 4830 кг, организ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ция - изготовитель ПАЗ/Павловский </w:t>
            </w:r>
            <w:proofErr w:type="spellStart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</w:t>
            </w:r>
            <w:proofErr w:type="spell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вод, ПТС 72 ЕТ 824105 от 23.11.2001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личного предлож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2018 г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 пров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дились следу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щие торги: аукцион № 03/18 от 29.05.2018, </w:t>
            </w:r>
          </w:p>
          <w:p w:rsidR="00A1022F" w:rsidRPr="00765852" w:rsidRDefault="00A1022F" w:rsidP="00A10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04/18 от 24.07.2018; пр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дажа посре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ством пу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ного предлож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ния № 7/18 от 18.10.2018, № 8/18 от </w:t>
            </w:r>
            <w:r w:rsidRPr="007658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09.11.2018</w:t>
            </w:r>
            <w:bookmarkStart w:id="0" w:name="_GoBack"/>
            <w:bookmarkEnd w:id="0"/>
          </w:p>
        </w:tc>
      </w:tr>
      <w:tr w:rsidR="00A1022F" w:rsidRPr="00A1022F" w:rsidTr="00765852">
        <w:trPr>
          <w:trHeight w:val="277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2F" w:rsidRPr="00A1022F" w:rsidRDefault="00A1022F" w:rsidP="00A10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3F570E" w:rsidRDefault="003F570E" w:rsidP="00263179">
      <w:pPr>
        <w:widowControl w:val="0"/>
        <w:snapToGri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RANGE!A1:I61"/>
      <w:bookmarkEnd w:id="1"/>
    </w:p>
    <w:sectPr w:rsidR="003F570E" w:rsidSect="00BA22DC">
      <w:pgSz w:w="16838" w:h="11906" w:orient="landscape" w:code="9"/>
      <w:pgMar w:top="170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C4E1B"/>
    <w:rsid w:val="00006E5B"/>
    <w:rsid w:val="00020CCF"/>
    <w:rsid w:val="000439E1"/>
    <w:rsid w:val="0005730F"/>
    <w:rsid w:val="00060139"/>
    <w:rsid w:val="00093709"/>
    <w:rsid w:val="000A55B9"/>
    <w:rsid w:val="000E5CBF"/>
    <w:rsid w:val="00112DDA"/>
    <w:rsid w:val="00113557"/>
    <w:rsid w:val="00137450"/>
    <w:rsid w:val="00142954"/>
    <w:rsid w:val="00146F32"/>
    <w:rsid w:val="00162B00"/>
    <w:rsid w:val="00162DD6"/>
    <w:rsid w:val="001B19BF"/>
    <w:rsid w:val="001C2E62"/>
    <w:rsid w:val="001F59E3"/>
    <w:rsid w:val="001F7951"/>
    <w:rsid w:val="0024623B"/>
    <w:rsid w:val="002567F2"/>
    <w:rsid w:val="00256C64"/>
    <w:rsid w:val="00263179"/>
    <w:rsid w:val="0029711C"/>
    <w:rsid w:val="002A570A"/>
    <w:rsid w:val="002B0713"/>
    <w:rsid w:val="002C48E9"/>
    <w:rsid w:val="002D58B2"/>
    <w:rsid w:val="003166C0"/>
    <w:rsid w:val="00341F65"/>
    <w:rsid w:val="00362CCE"/>
    <w:rsid w:val="003679E3"/>
    <w:rsid w:val="00386677"/>
    <w:rsid w:val="003A282A"/>
    <w:rsid w:val="003A2ED1"/>
    <w:rsid w:val="003B0687"/>
    <w:rsid w:val="003C0679"/>
    <w:rsid w:val="003D031A"/>
    <w:rsid w:val="003E104D"/>
    <w:rsid w:val="003F0DCF"/>
    <w:rsid w:val="003F570E"/>
    <w:rsid w:val="004203AC"/>
    <w:rsid w:val="004B21AB"/>
    <w:rsid w:val="005200B0"/>
    <w:rsid w:val="00522F24"/>
    <w:rsid w:val="0055136B"/>
    <w:rsid w:val="00567FF4"/>
    <w:rsid w:val="0059750B"/>
    <w:rsid w:val="005A0A31"/>
    <w:rsid w:val="005A2F6D"/>
    <w:rsid w:val="005C02D2"/>
    <w:rsid w:val="005C35F6"/>
    <w:rsid w:val="005C6665"/>
    <w:rsid w:val="005C7723"/>
    <w:rsid w:val="005C7D94"/>
    <w:rsid w:val="005D0640"/>
    <w:rsid w:val="005D4FF1"/>
    <w:rsid w:val="005F2352"/>
    <w:rsid w:val="00605306"/>
    <w:rsid w:val="00612CA2"/>
    <w:rsid w:val="00615221"/>
    <w:rsid w:val="00633407"/>
    <w:rsid w:val="0064343F"/>
    <w:rsid w:val="00653CA5"/>
    <w:rsid w:val="006564B8"/>
    <w:rsid w:val="0067278C"/>
    <w:rsid w:val="006C1CF0"/>
    <w:rsid w:val="006D568B"/>
    <w:rsid w:val="006D706F"/>
    <w:rsid w:val="00747F75"/>
    <w:rsid w:val="00765852"/>
    <w:rsid w:val="0079589A"/>
    <w:rsid w:val="007A31E8"/>
    <w:rsid w:val="007A4A89"/>
    <w:rsid w:val="007D6D17"/>
    <w:rsid w:val="00820287"/>
    <w:rsid w:val="00863D0A"/>
    <w:rsid w:val="00870E8E"/>
    <w:rsid w:val="0088749E"/>
    <w:rsid w:val="00893B3D"/>
    <w:rsid w:val="008D5A2C"/>
    <w:rsid w:val="008E5709"/>
    <w:rsid w:val="00934D93"/>
    <w:rsid w:val="00943878"/>
    <w:rsid w:val="009529B3"/>
    <w:rsid w:val="00974776"/>
    <w:rsid w:val="009B4FB0"/>
    <w:rsid w:val="009E4C8A"/>
    <w:rsid w:val="00A02AE5"/>
    <w:rsid w:val="00A1022F"/>
    <w:rsid w:val="00A20228"/>
    <w:rsid w:val="00A25754"/>
    <w:rsid w:val="00A35893"/>
    <w:rsid w:val="00A423A7"/>
    <w:rsid w:val="00A5764B"/>
    <w:rsid w:val="00A73EAC"/>
    <w:rsid w:val="00A979AD"/>
    <w:rsid w:val="00AB181A"/>
    <w:rsid w:val="00AB3926"/>
    <w:rsid w:val="00B42FC3"/>
    <w:rsid w:val="00B44923"/>
    <w:rsid w:val="00B8275A"/>
    <w:rsid w:val="00B83603"/>
    <w:rsid w:val="00B91C31"/>
    <w:rsid w:val="00BA22DC"/>
    <w:rsid w:val="00BC4E1B"/>
    <w:rsid w:val="00BF451C"/>
    <w:rsid w:val="00C635E0"/>
    <w:rsid w:val="00C66F29"/>
    <w:rsid w:val="00CD21D5"/>
    <w:rsid w:val="00CD5ED1"/>
    <w:rsid w:val="00D026E7"/>
    <w:rsid w:val="00D21248"/>
    <w:rsid w:val="00D805BA"/>
    <w:rsid w:val="00D86B94"/>
    <w:rsid w:val="00DB370E"/>
    <w:rsid w:val="00DC37BF"/>
    <w:rsid w:val="00DD6AC1"/>
    <w:rsid w:val="00DE2A48"/>
    <w:rsid w:val="00DE58E2"/>
    <w:rsid w:val="00E156FF"/>
    <w:rsid w:val="00E401D3"/>
    <w:rsid w:val="00E536D3"/>
    <w:rsid w:val="00E537EA"/>
    <w:rsid w:val="00E64C69"/>
    <w:rsid w:val="00E8771B"/>
    <w:rsid w:val="00F02C66"/>
    <w:rsid w:val="00F20B74"/>
    <w:rsid w:val="00F30084"/>
    <w:rsid w:val="00F5072F"/>
    <w:rsid w:val="00F643B9"/>
    <w:rsid w:val="00F66041"/>
    <w:rsid w:val="00F76416"/>
    <w:rsid w:val="00F85630"/>
    <w:rsid w:val="00F857D2"/>
    <w:rsid w:val="00F95538"/>
    <w:rsid w:val="00FA5EB1"/>
    <w:rsid w:val="00FA7613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B"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rsid w:val="00943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23C103BECC7F4780F3F9CD19976AB66E8E0F63F357D0F62F31F41DC72O8U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himdoc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E2E478B9988D0838980C1758423AADB6364737EEC7F72B546E9A86C626AD33BAA0A86675381C63F20143DD7388DFA47731BBB4C5E9488821CBB485O6U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E2E478B9988D0838980C1758423AADB6364737EEC5FA2B53629A86C626AD33BAA0A86675381C63F20143DE7388DFA47731BBB4C5E9488821CBB485O6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D587-D336-4654-961A-030FB640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24</cp:revision>
  <cp:lastPrinted>2019-02-07T10:59:00Z</cp:lastPrinted>
  <dcterms:created xsi:type="dcterms:W3CDTF">2018-03-14T10:53:00Z</dcterms:created>
  <dcterms:modified xsi:type="dcterms:W3CDTF">2019-03-01T05:30:00Z</dcterms:modified>
</cp:coreProperties>
</file>