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16568B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29.03.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E104D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184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A5B6D" w:rsidRPr="00DC37BF" w:rsidTr="00F3703A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A5B6D" w:rsidRDefault="00FA5B6D" w:rsidP="00FA5B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FA5B6D" w:rsidRPr="00DC37BF" w:rsidRDefault="00FA5B6D" w:rsidP="001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ской городской Думы от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28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09.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150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прогнозного </w:t>
            </w: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ства города Ишима</w:t>
            </w:r>
            <w:proofErr w:type="gramEnd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8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год»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д</w:t>
            </w:r>
            <w:r w:rsidR="0016568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акции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от 25.01.2018 № 175)</w:t>
            </w:r>
            <w:bookmarkEnd w:id="0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FA5B6D" w:rsidRPr="00DC37BF" w:rsidRDefault="00FA5B6D" w:rsidP="00FA5B6D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A5B6D" w:rsidRPr="00DC37BF" w:rsidRDefault="00FA5B6D" w:rsidP="00FA5B6D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A5B6D" w:rsidRPr="00DC37BF" w:rsidRDefault="00FA5B6D" w:rsidP="00FA5B6D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A5B6D" w:rsidRPr="00DC37BF" w:rsidRDefault="00FA5B6D" w:rsidP="00FA5B6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A5B6D" w:rsidRPr="00DC37BF" w:rsidRDefault="00FA5B6D" w:rsidP="00FA5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A5B6D" w:rsidRPr="00DC37BF" w:rsidRDefault="00FA5B6D" w:rsidP="00FA5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A5B6D" w:rsidRPr="00DC37BF" w:rsidRDefault="00FA5B6D" w:rsidP="00FA5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A5B6D" w:rsidRPr="00DC37BF" w:rsidRDefault="00FA5B6D" w:rsidP="00FA5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A5B6D" w:rsidRDefault="00FA5B6D" w:rsidP="00FA5B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5B6D" w:rsidRDefault="00FA5B6D" w:rsidP="00FA5B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5B6D" w:rsidRDefault="00FA5B6D" w:rsidP="00FA5B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5B6D" w:rsidRDefault="00FA5B6D" w:rsidP="00165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A5B6D" w:rsidRPr="00DC37BF" w:rsidRDefault="00FA5B6D" w:rsidP="00FA5B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5B6D" w:rsidRDefault="00FA5B6D" w:rsidP="00FA5B6D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A5B6D" w:rsidRPr="00E537EA" w:rsidRDefault="00FA5B6D" w:rsidP="00FA5B6D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A5B6D" w:rsidRDefault="00FA5B6D" w:rsidP="00FA5B6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09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150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 ред. решения Ишимской городской Думы</w:t>
      </w:r>
      <w:proofErr w:type="gram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25.01.2018 № 175)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FA5B6D" w:rsidRPr="004F4953" w:rsidRDefault="00FA5B6D" w:rsidP="00FA5B6D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Приложение к решению дополнить пунктами 214-218  следующего содержания:</w:t>
      </w:r>
    </w:p>
    <w:p w:rsidR="00FA5B6D" w:rsidRDefault="00FA5B6D" w:rsidP="00FA5B6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1275"/>
        <w:gridCol w:w="1241"/>
      </w:tblGrid>
      <w:tr w:rsidR="00FA5B6D" w:rsidTr="0016568B">
        <w:tc>
          <w:tcPr>
            <w:tcW w:w="675" w:type="dxa"/>
          </w:tcPr>
          <w:p w:rsidR="00FA5B6D" w:rsidRPr="00F643B9" w:rsidRDefault="00FA5B6D" w:rsidP="00FA5B6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5245" w:type="dxa"/>
          </w:tcPr>
          <w:p w:rsidR="00FA5B6D" w:rsidRDefault="00FA5B6D" w:rsidP="001656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Нежилое помещение, площ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дью 254,6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., в том числе  подвал, этаж № 1, распол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женное по адресу: Тюменская область, г. Ишим, ул. Карла Маркса, 63/2, кадастровый номер: 72:25:0105003:1251</w:t>
            </w:r>
          </w:p>
        </w:tc>
        <w:tc>
          <w:tcPr>
            <w:tcW w:w="1418" w:type="dxa"/>
          </w:tcPr>
          <w:p w:rsidR="00FA5B6D" w:rsidRDefault="00FA5B6D" w:rsidP="0016568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</w:tcPr>
          <w:p w:rsidR="00FA5B6D" w:rsidRPr="00F95538" w:rsidRDefault="00FA5B6D" w:rsidP="0016568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241" w:type="dxa"/>
          </w:tcPr>
          <w:p w:rsidR="00FA5B6D" w:rsidRDefault="00FA5B6D" w:rsidP="001656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гается</w:t>
            </w:r>
          </w:p>
        </w:tc>
      </w:tr>
      <w:tr w:rsidR="00FA5B6D" w:rsidTr="0016568B">
        <w:tc>
          <w:tcPr>
            <w:tcW w:w="675" w:type="dxa"/>
          </w:tcPr>
          <w:p w:rsidR="00FA5B6D" w:rsidRPr="00853CDE" w:rsidRDefault="00FA5B6D" w:rsidP="00FA5B6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5245" w:type="dxa"/>
          </w:tcPr>
          <w:p w:rsidR="00FA5B6D" w:rsidRPr="00B50A6A" w:rsidRDefault="00FA5B6D" w:rsidP="001656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Специальный автомобиль марка УАЗ-3909, идентифик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ционный номер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>
              <w:rPr>
                <w:rFonts w:ascii="Arial" w:hAnsi="Arial" w:cs="Arial"/>
                <w:sz w:val="26"/>
                <w:szCs w:val="26"/>
              </w:rPr>
              <w:t>)  ХТТ39090010030531, катег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рия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год изготовления 2001, модель, № двигат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ля  ЗМЗ-40210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L</w:t>
            </w:r>
            <w:r>
              <w:rPr>
                <w:rFonts w:ascii="Arial" w:hAnsi="Arial" w:cs="Arial"/>
                <w:sz w:val="26"/>
                <w:szCs w:val="26"/>
              </w:rPr>
              <w:t xml:space="preserve"> №10085692, шасси (р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ма) № 10029222, кузов (прицеп) № 10030531, цвет кузова (кабины) белая ночь, мощность двигателя 74 (55,4), 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бочий объем двигателя 2445 куб. см., тип двигателя – бензиновый, разреше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ная максимальная масса 2820 кг, масса без нагрузки 1820 кг, организация -  и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>готовитель ТС  Россия, ОАО УАЗ, ПТС 73 КЕ298728 от 24.10.2001</w:t>
            </w:r>
          </w:p>
        </w:tc>
        <w:tc>
          <w:tcPr>
            <w:tcW w:w="1418" w:type="dxa"/>
          </w:tcPr>
          <w:p w:rsidR="00FA5B6D" w:rsidRDefault="00FA5B6D" w:rsidP="0016568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Аукцион</w:t>
            </w:r>
          </w:p>
        </w:tc>
        <w:tc>
          <w:tcPr>
            <w:tcW w:w="1275" w:type="dxa"/>
          </w:tcPr>
          <w:p w:rsidR="00FA5B6D" w:rsidRPr="00F95538" w:rsidRDefault="00FA5B6D" w:rsidP="0016568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241" w:type="dxa"/>
          </w:tcPr>
          <w:p w:rsidR="00FA5B6D" w:rsidRDefault="00FA5B6D" w:rsidP="001656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гается</w:t>
            </w:r>
          </w:p>
        </w:tc>
      </w:tr>
      <w:tr w:rsidR="00FA5B6D" w:rsidTr="0016568B">
        <w:tc>
          <w:tcPr>
            <w:tcW w:w="675" w:type="dxa"/>
          </w:tcPr>
          <w:p w:rsidR="00FA5B6D" w:rsidRDefault="00FA5B6D" w:rsidP="00FA5B6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216</w:t>
            </w:r>
          </w:p>
        </w:tc>
        <w:tc>
          <w:tcPr>
            <w:tcW w:w="5245" w:type="dxa"/>
          </w:tcPr>
          <w:p w:rsidR="00FA5B6D" w:rsidRPr="007F793D" w:rsidRDefault="00FA5B6D" w:rsidP="001656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Автобус ПАЗ32050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R</w:t>
            </w:r>
            <w:r>
              <w:rPr>
                <w:rFonts w:ascii="Arial" w:hAnsi="Arial" w:cs="Arial"/>
                <w:sz w:val="26"/>
                <w:szCs w:val="26"/>
              </w:rPr>
              <w:t>, идентификацио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ный номер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XTM</w:t>
            </w:r>
            <w:r w:rsidRPr="00A208F2">
              <w:rPr>
                <w:rFonts w:ascii="Arial" w:hAnsi="Arial" w:cs="Arial"/>
                <w:sz w:val="26"/>
                <w:szCs w:val="26"/>
              </w:rPr>
              <w:t>32050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RW</w:t>
            </w:r>
            <w:r w:rsidRPr="00A208F2">
              <w:rPr>
                <w:rFonts w:ascii="Arial" w:hAnsi="Arial" w:cs="Arial"/>
                <w:sz w:val="26"/>
                <w:szCs w:val="26"/>
              </w:rPr>
              <w:t>0004216</w:t>
            </w:r>
            <w:r>
              <w:rPr>
                <w:rFonts w:ascii="Arial" w:hAnsi="Arial" w:cs="Arial"/>
                <w:sz w:val="26"/>
                <w:szCs w:val="26"/>
              </w:rPr>
              <w:t xml:space="preserve">, категория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>, год изготовления 1998, м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дель, № двигателя ЗМЗ523400-1016558, шасси (рама) № отсутствует, кузов (пр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цеп) №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W</w:t>
            </w:r>
            <w:r>
              <w:rPr>
                <w:rFonts w:ascii="Arial" w:hAnsi="Arial" w:cs="Arial"/>
                <w:sz w:val="26"/>
                <w:szCs w:val="26"/>
              </w:rPr>
              <w:t>0004216, цвет кузова (кабины) бело-зеленый, мощность двигателя 120 (88,2), рабочий объем двигателя 4670 куб. см., тип двигателя бензиновый, ра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>решенная максимальная ма</w:t>
            </w:r>
            <w:r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са 7460 кг, масса без нагрузки 4830 кг., организация – изготовитель ПАЗ/Павловский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>тоб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Завод, ПТС 72 ЕТ 824105 от 23.11.2001</w:t>
            </w:r>
          </w:p>
        </w:tc>
        <w:tc>
          <w:tcPr>
            <w:tcW w:w="1418" w:type="dxa"/>
          </w:tcPr>
          <w:p w:rsidR="00FA5B6D" w:rsidRDefault="00FA5B6D" w:rsidP="0016568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</w:tcPr>
          <w:p w:rsidR="00FA5B6D" w:rsidRPr="00F95538" w:rsidRDefault="00FA5B6D" w:rsidP="0016568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241" w:type="dxa"/>
          </w:tcPr>
          <w:p w:rsidR="00FA5B6D" w:rsidRDefault="00FA5B6D" w:rsidP="001656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гается</w:t>
            </w:r>
          </w:p>
        </w:tc>
      </w:tr>
      <w:tr w:rsidR="00FA5B6D" w:rsidTr="0016568B">
        <w:tc>
          <w:tcPr>
            <w:tcW w:w="675" w:type="dxa"/>
          </w:tcPr>
          <w:p w:rsidR="00FA5B6D" w:rsidRDefault="00FA5B6D" w:rsidP="00FA5B6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5245" w:type="dxa"/>
          </w:tcPr>
          <w:p w:rsidR="00FA5B6D" w:rsidRPr="006D3250" w:rsidRDefault="00FA5B6D" w:rsidP="001656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KIA</w:t>
            </w:r>
            <w:r w:rsidRPr="006D325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CERATO</w:t>
            </w:r>
            <w:r>
              <w:rPr>
                <w:rFonts w:ascii="Arial" w:hAnsi="Arial" w:cs="Arial"/>
                <w:sz w:val="26"/>
                <w:szCs w:val="26"/>
              </w:rPr>
              <w:t>, легковой, идентификац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онный номер </w:t>
            </w:r>
            <w:r w:rsidRPr="006D3250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 w:rsidRPr="006D3250">
              <w:rPr>
                <w:rFonts w:ascii="Arial" w:hAnsi="Arial" w:cs="Arial"/>
                <w:sz w:val="26"/>
                <w:szCs w:val="26"/>
              </w:rPr>
              <w:t>)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KNEFE</w:t>
            </w:r>
            <w:r w:rsidRPr="006D3250">
              <w:rPr>
                <w:rFonts w:ascii="Arial" w:hAnsi="Arial" w:cs="Arial"/>
                <w:sz w:val="26"/>
                <w:szCs w:val="26"/>
              </w:rPr>
              <w:t>227385543792</w:t>
            </w:r>
            <w:r>
              <w:rPr>
                <w:rFonts w:ascii="Arial" w:hAnsi="Arial" w:cs="Arial"/>
                <w:sz w:val="26"/>
                <w:szCs w:val="26"/>
              </w:rPr>
              <w:t>, категория В, год изготовления 2007, м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дель, № двигателя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G</w:t>
            </w:r>
            <w:r w:rsidRPr="006D3250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FC</w:t>
            </w:r>
            <w:r w:rsidRPr="006D3250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U</w:t>
            </w:r>
            <w:r w:rsidRPr="006D3250">
              <w:rPr>
                <w:rFonts w:ascii="Arial" w:hAnsi="Arial" w:cs="Arial"/>
                <w:sz w:val="26"/>
                <w:szCs w:val="26"/>
              </w:rPr>
              <w:t>327009</w:t>
            </w:r>
            <w:r>
              <w:rPr>
                <w:rFonts w:ascii="Arial" w:hAnsi="Arial" w:cs="Arial"/>
                <w:sz w:val="26"/>
                <w:szCs w:val="26"/>
              </w:rPr>
              <w:t>, шасси (рама) № отсутствует, кузов (к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бина, прицеп) №</w:t>
            </w:r>
            <w:r w:rsidRPr="006D325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KNEFE</w:t>
            </w:r>
            <w:r w:rsidRPr="006D3250">
              <w:rPr>
                <w:rFonts w:ascii="Arial" w:hAnsi="Arial" w:cs="Arial"/>
                <w:sz w:val="26"/>
                <w:szCs w:val="26"/>
              </w:rPr>
              <w:t>227385543792</w:t>
            </w:r>
            <w:r>
              <w:rPr>
                <w:rFonts w:ascii="Arial" w:hAnsi="Arial" w:cs="Arial"/>
                <w:sz w:val="26"/>
                <w:szCs w:val="26"/>
              </w:rPr>
              <w:t>, цвет кузова серебристый, мощность дв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гателя 122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л.с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89,7 кВт, рабочий объем двигателя  1591 куб.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см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тип двигателя бензиновый, экологический класс че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вертый, разрешенная максимальная масса 1760 кг., масса без нагрузки 1366 кг, организация – изготовитель КИА М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ТОРС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Корп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рейшн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(Корея, Республика), ПТС 78 УА 097341 от 15.06.2008  </w:t>
            </w:r>
          </w:p>
        </w:tc>
        <w:tc>
          <w:tcPr>
            <w:tcW w:w="1418" w:type="dxa"/>
          </w:tcPr>
          <w:p w:rsidR="00FA5B6D" w:rsidRDefault="00FA5B6D" w:rsidP="0016568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</w:tcPr>
          <w:p w:rsidR="00FA5B6D" w:rsidRPr="00F95538" w:rsidRDefault="00FA5B6D" w:rsidP="0016568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241" w:type="dxa"/>
          </w:tcPr>
          <w:p w:rsidR="00FA5B6D" w:rsidRDefault="00FA5B6D" w:rsidP="001656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гается</w:t>
            </w:r>
          </w:p>
        </w:tc>
      </w:tr>
      <w:tr w:rsidR="00FA5B6D" w:rsidTr="0016568B">
        <w:tc>
          <w:tcPr>
            <w:tcW w:w="675" w:type="dxa"/>
          </w:tcPr>
          <w:p w:rsidR="00FA5B6D" w:rsidRDefault="00FA5B6D" w:rsidP="00FA5B6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5245" w:type="dxa"/>
          </w:tcPr>
          <w:p w:rsidR="00FA5B6D" w:rsidRPr="006A27F4" w:rsidRDefault="00FA5B6D" w:rsidP="001656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Автобус КАВЗ 397620 идентификацио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н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ный номер Х1Е39762070041896, год и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готовления 2007, модель, № двигателя 51300К-71007301, шасси (рама) №33074070931582, кузов (кабина, пр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и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цеп) №39762070041896, цвет кузова б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 xml:space="preserve">лый, мощность двигателя 119 </w:t>
            </w:r>
            <w:proofErr w:type="spellStart"/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л.с</w:t>
            </w:r>
            <w:proofErr w:type="spellEnd"/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., раб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 xml:space="preserve">чий объем двигателя 4250 </w:t>
            </w:r>
            <w:proofErr w:type="spellStart"/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куб.см</w:t>
            </w:r>
            <w:proofErr w:type="spellEnd"/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., тип двигателя бензиновый, разрешенная максимальная ма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с</w:t>
            </w:r>
            <w:r w:rsidRPr="006A27F4">
              <w:rPr>
                <w:rFonts w:ascii="Arial" w:hAnsi="Arial" w:cs="Arial"/>
                <w:color w:val="000000"/>
                <w:sz w:val="26"/>
                <w:szCs w:val="26"/>
              </w:rPr>
              <w:t>са 5870 кг, ПТС №72 НА 898998 от 13.12.2012</w:t>
            </w:r>
          </w:p>
        </w:tc>
        <w:tc>
          <w:tcPr>
            <w:tcW w:w="1418" w:type="dxa"/>
          </w:tcPr>
          <w:p w:rsidR="00FA5B6D" w:rsidRDefault="00FA5B6D" w:rsidP="0016568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</w:tcPr>
          <w:p w:rsidR="00FA5B6D" w:rsidRPr="00F95538" w:rsidRDefault="00FA5B6D" w:rsidP="0016568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241" w:type="dxa"/>
          </w:tcPr>
          <w:p w:rsidR="00FA5B6D" w:rsidRDefault="00FA5B6D" w:rsidP="001656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гается</w:t>
            </w:r>
          </w:p>
        </w:tc>
      </w:tr>
    </w:tbl>
    <w:p w:rsidR="00FA5B6D" w:rsidRDefault="00FA5B6D" w:rsidP="00FA5B6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A5B6D" w:rsidRDefault="00FA5B6D" w:rsidP="0016568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 xml:space="preserve">1.2. 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пунктах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1-205, 207-212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в графе «Предп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лагаемые сроки приватизации» слова «I квартал» заменить словами «II ква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тал»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FA5B6D" w:rsidRPr="00E10CA3" w:rsidRDefault="00FA5B6D" w:rsidP="0016568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1.3. в пунктах 207, 209 приложения к решению слова «Аукцион» зам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нить словами «Посредством публичного предложения».</w:t>
      </w:r>
    </w:p>
    <w:p w:rsidR="00FA5B6D" w:rsidRPr="00DC37BF" w:rsidRDefault="00FA5B6D" w:rsidP="0016568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2. О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публиковать настоящее решение в сетевом издании «Официальные документы города Ишима» (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ishimdoc</w:t>
      </w:r>
      <w:proofErr w:type="spellEnd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и на официальном сайте РФ </w:t>
      </w:r>
      <w:hyperlink r:id="rId8" w:history="1">
        <w:r w:rsidRPr="00DC37BF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www.torgi.gov.ru</w:t>
        </w:r>
      </w:hyperlink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FA5B6D" w:rsidRPr="00113557" w:rsidRDefault="00FA5B6D" w:rsidP="0016568B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13557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янную комиссию </w:t>
      </w:r>
      <w:r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</w:t>
      </w:r>
      <w:r w:rsidRPr="00113557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113557">
        <w:rPr>
          <w:rFonts w:ascii="Arial" w:eastAsia="Times New Roman" w:hAnsi="Arial" w:cs="Arial"/>
          <w:sz w:val="26"/>
          <w:szCs w:val="26"/>
          <w:lang w:eastAsia="ru-RU"/>
        </w:rPr>
        <w:t>принимательству.</w:t>
      </w:r>
    </w:p>
    <w:p w:rsidR="00FA5B6D" w:rsidRDefault="00FA5B6D" w:rsidP="00FA5B6D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FA5B6D" w:rsidRPr="00DC37BF" w:rsidRDefault="00FA5B6D" w:rsidP="00FA5B6D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FA5B6D" w:rsidRDefault="00FA5B6D" w:rsidP="00FA5B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FA5B6D" w:rsidRDefault="00FA5B6D" w:rsidP="00FA5B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 Ф.Б. Шишкин</w:t>
      </w:r>
    </w:p>
    <w:sectPr w:rsidR="00FA5B6D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20CCF"/>
    <w:rsid w:val="00031139"/>
    <w:rsid w:val="000439E1"/>
    <w:rsid w:val="0005730F"/>
    <w:rsid w:val="00060139"/>
    <w:rsid w:val="000A55B9"/>
    <w:rsid w:val="000E5CBF"/>
    <w:rsid w:val="00113557"/>
    <w:rsid w:val="00137450"/>
    <w:rsid w:val="00142954"/>
    <w:rsid w:val="00162B00"/>
    <w:rsid w:val="0016568B"/>
    <w:rsid w:val="001B19BF"/>
    <w:rsid w:val="001C2E62"/>
    <w:rsid w:val="001F59E3"/>
    <w:rsid w:val="001F7951"/>
    <w:rsid w:val="002567F2"/>
    <w:rsid w:val="0029711C"/>
    <w:rsid w:val="002A570A"/>
    <w:rsid w:val="002A6AA8"/>
    <w:rsid w:val="002B0713"/>
    <w:rsid w:val="002D58B2"/>
    <w:rsid w:val="00341F65"/>
    <w:rsid w:val="003679E3"/>
    <w:rsid w:val="00386677"/>
    <w:rsid w:val="003A282A"/>
    <w:rsid w:val="003A2ED1"/>
    <w:rsid w:val="003B0687"/>
    <w:rsid w:val="003C0679"/>
    <w:rsid w:val="003E104D"/>
    <w:rsid w:val="003F0DCF"/>
    <w:rsid w:val="003F570E"/>
    <w:rsid w:val="004203AC"/>
    <w:rsid w:val="004255B0"/>
    <w:rsid w:val="004F4953"/>
    <w:rsid w:val="005200B0"/>
    <w:rsid w:val="00522F24"/>
    <w:rsid w:val="0055136B"/>
    <w:rsid w:val="00567FF4"/>
    <w:rsid w:val="0059750B"/>
    <w:rsid w:val="005A0A31"/>
    <w:rsid w:val="005C02D2"/>
    <w:rsid w:val="005C35F6"/>
    <w:rsid w:val="005C6665"/>
    <w:rsid w:val="005C7723"/>
    <w:rsid w:val="005C7D94"/>
    <w:rsid w:val="005D0640"/>
    <w:rsid w:val="005F037A"/>
    <w:rsid w:val="00605306"/>
    <w:rsid w:val="00612CA2"/>
    <w:rsid w:val="00615221"/>
    <w:rsid w:val="006209A2"/>
    <w:rsid w:val="00633407"/>
    <w:rsid w:val="006564B8"/>
    <w:rsid w:val="006A27F4"/>
    <w:rsid w:val="006D3250"/>
    <w:rsid w:val="006D568B"/>
    <w:rsid w:val="006D706F"/>
    <w:rsid w:val="00747F75"/>
    <w:rsid w:val="0079589A"/>
    <w:rsid w:val="007D6D17"/>
    <w:rsid w:val="007F793D"/>
    <w:rsid w:val="00820287"/>
    <w:rsid w:val="00823B59"/>
    <w:rsid w:val="00853CDE"/>
    <w:rsid w:val="00863D0A"/>
    <w:rsid w:val="00870E8E"/>
    <w:rsid w:val="0088749E"/>
    <w:rsid w:val="00893B3D"/>
    <w:rsid w:val="008D5A2C"/>
    <w:rsid w:val="008E5709"/>
    <w:rsid w:val="00943878"/>
    <w:rsid w:val="009529B3"/>
    <w:rsid w:val="009B4FB0"/>
    <w:rsid w:val="009B55B3"/>
    <w:rsid w:val="009E4C8A"/>
    <w:rsid w:val="00A014D7"/>
    <w:rsid w:val="00A02AE5"/>
    <w:rsid w:val="00A20228"/>
    <w:rsid w:val="00A208F2"/>
    <w:rsid w:val="00A25754"/>
    <w:rsid w:val="00A35893"/>
    <w:rsid w:val="00A423A7"/>
    <w:rsid w:val="00A5764B"/>
    <w:rsid w:val="00A73EAC"/>
    <w:rsid w:val="00A979AD"/>
    <w:rsid w:val="00AB3926"/>
    <w:rsid w:val="00B42FC3"/>
    <w:rsid w:val="00B44923"/>
    <w:rsid w:val="00B50A6A"/>
    <w:rsid w:val="00B91C31"/>
    <w:rsid w:val="00BC4E1B"/>
    <w:rsid w:val="00C66F29"/>
    <w:rsid w:val="00D026E7"/>
    <w:rsid w:val="00D11C31"/>
    <w:rsid w:val="00D805BA"/>
    <w:rsid w:val="00D86B94"/>
    <w:rsid w:val="00DB370E"/>
    <w:rsid w:val="00DC37BF"/>
    <w:rsid w:val="00DD6AC1"/>
    <w:rsid w:val="00DE2A48"/>
    <w:rsid w:val="00DE58E2"/>
    <w:rsid w:val="00E009CB"/>
    <w:rsid w:val="00E401D3"/>
    <w:rsid w:val="00E536D3"/>
    <w:rsid w:val="00E537EA"/>
    <w:rsid w:val="00F02C66"/>
    <w:rsid w:val="00F30084"/>
    <w:rsid w:val="00F5072F"/>
    <w:rsid w:val="00F643B9"/>
    <w:rsid w:val="00F66041"/>
    <w:rsid w:val="00F731CF"/>
    <w:rsid w:val="00F8082A"/>
    <w:rsid w:val="00F85630"/>
    <w:rsid w:val="00F857D2"/>
    <w:rsid w:val="00F95538"/>
    <w:rsid w:val="00FA5B6D"/>
    <w:rsid w:val="00FA5EB1"/>
    <w:rsid w:val="00FA7613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5AB9-F374-4EFC-87E9-3BA425E0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6</cp:revision>
  <cp:lastPrinted>2018-03-29T08:22:00Z</cp:lastPrinted>
  <dcterms:created xsi:type="dcterms:W3CDTF">2018-03-14T10:41:00Z</dcterms:created>
  <dcterms:modified xsi:type="dcterms:W3CDTF">2018-03-29T08:22:00Z</dcterms:modified>
</cp:coreProperties>
</file>